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AEE2B3"/>
  <w:body>
    <w:p w14:paraId="151884AD" w14:textId="1917AD0E" w:rsidR="00EB28A8" w:rsidRDefault="00EB28A8" w:rsidP="00EB28A8">
      <w:pPr>
        <w:pStyle w:val="Header"/>
        <w:tabs>
          <w:tab w:val="right" w:pos="9639"/>
          <w:tab w:val="right" w:pos="13323"/>
        </w:tabs>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3GPP TSG-RAN WG4 Meeting # 113</w:t>
      </w:r>
      <w:r>
        <w:rPr>
          <w:rFonts w:asciiTheme="minorHAnsi" w:eastAsiaTheme="minorEastAsia" w:hAnsiTheme="minorHAnsi" w:cstheme="minorHAnsi"/>
          <w:bCs/>
          <w:noProof w:val="0"/>
          <w:sz w:val="24"/>
          <w:szCs w:val="24"/>
          <w:lang w:eastAsia="zh-CN"/>
        </w:rPr>
        <w:tab/>
        <w:t xml:space="preserve">                                       </w:t>
      </w:r>
      <w:r w:rsidR="00F179A4" w:rsidRPr="00F179A4">
        <w:rPr>
          <w:rFonts w:asciiTheme="minorHAnsi" w:eastAsiaTheme="minorEastAsia" w:hAnsiTheme="minorHAnsi" w:cstheme="minorHAnsi"/>
          <w:bCs/>
          <w:noProof w:val="0"/>
          <w:sz w:val="24"/>
          <w:szCs w:val="24"/>
          <w:lang w:eastAsia="zh-CN"/>
        </w:rPr>
        <w:t>R4-2417897</w:t>
      </w:r>
    </w:p>
    <w:p w14:paraId="68A69871" w14:textId="77777777" w:rsidR="00EB28A8" w:rsidRDefault="00EB28A8" w:rsidP="00EB28A8">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Orlando, US, Nov. 18 – Nov. 22, 2024  </w:t>
      </w:r>
    </w:p>
    <w:p w14:paraId="597BC239" w14:textId="2D63667B" w:rsidR="00430613" w:rsidRDefault="00430613" w:rsidP="00430613">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8689A">
        <w:rPr>
          <w:rFonts w:asciiTheme="minorHAnsi" w:eastAsiaTheme="minorEastAsia" w:hAnsiTheme="minorHAnsi" w:cstheme="minorHAnsi"/>
          <w:bCs/>
          <w:noProof w:val="0"/>
          <w:sz w:val="24"/>
          <w:szCs w:val="24"/>
          <w:lang w:eastAsia="zh-CN"/>
        </w:rPr>
        <w:t xml:space="preserve">Agenda Item: </w:t>
      </w:r>
      <w:r w:rsidR="00B8689A" w:rsidRPr="00EB28A8">
        <w:rPr>
          <w:rFonts w:ascii="Calibri" w:hAnsi="Calibri"/>
          <w:sz w:val="22"/>
          <w:szCs w:val="22"/>
        </w:rPr>
        <w:t>5.2</w:t>
      </w:r>
      <w:r w:rsidR="00EB28A8" w:rsidRPr="00EB28A8">
        <w:rPr>
          <w:rFonts w:ascii="Calibri" w:hAnsi="Calibri"/>
          <w:sz w:val="22"/>
          <w:szCs w:val="22"/>
        </w:rPr>
        <w:t>3</w:t>
      </w:r>
      <w:r w:rsidR="00B8689A" w:rsidRPr="00EB28A8">
        <w:rPr>
          <w:rFonts w:ascii="Calibri" w:hAnsi="Calibri"/>
          <w:sz w:val="22"/>
          <w:szCs w:val="22"/>
        </w:rPr>
        <w:t>.1</w:t>
      </w:r>
    </w:p>
    <w:p w14:paraId="2637226F" w14:textId="77777777" w:rsidR="00DA768D" w:rsidRPr="00BD5F11"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6B1662D5" w:rsidR="00DA768D" w:rsidRPr="00782FF7"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r w:rsidR="000B06A9">
        <w:rPr>
          <w:rFonts w:asciiTheme="minorHAnsi" w:eastAsiaTheme="minorEastAsia" w:hAnsiTheme="minorHAnsi" w:cstheme="minorHAnsi"/>
          <w:bCs/>
          <w:noProof w:val="0"/>
          <w:sz w:val="24"/>
          <w:szCs w:val="24"/>
          <w:lang w:eastAsia="zh-CN"/>
        </w:rPr>
        <w:t xml:space="preserve">R18 </w:t>
      </w:r>
      <w:r w:rsidR="00A328E5" w:rsidRPr="00A328E5">
        <w:rPr>
          <w:rFonts w:asciiTheme="minorHAnsi" w:eastAsiaTheme="minorEastAsia" w:hAnsiTheme="minorHAnsi" w:cstheme="minorHAnsi"/>
          <w:bCs/>
          <w:noProof w:val="0"/>
          <w:sz w:val="24"/>
          <w:szCs w:val="24"/>
          <w:lang w:eastAsia="zh-CN"/>
        </w:rPr>
        <w:t>mobility</w:t>
      </w:r>
      <w:r w:rsidR="000B06A9">
        <w:rPr>
          <w:rFonts w:asciiTheme="minorHAnsi" w:eastAsiaTheme="minorEastAsia" w:hAnsiTheme="minorHAnsi" w:cstheme="minorHAnsi"/>
          <w:bCs/>
          <w:noProof w:val="0"/>
          <w:sz w:val="24"/>
          <w:szCs w:val="24"/>
          <w:lang w:eastAsia="zh-CN"/>
        </w:rPr>
        <w:t xml:space="preserve"> </w:t>
      </w:r>
      <w:r w:rsidR="00F10430">
        <w:rPr>
          <w:rFonts w:asciiTheme="minorHAnsi" w:eastAsiaTheme="minorEastAsia" w:hAnsiTheme="minorHAnsi" w:cstheme="minorHAnsi" w:hint="eastAsia"/>
          <w:bCs/>
          <w:noProof w:val="0"/>
          <w:sz w:val="24"/>
          <w:szCs w:val="24"/>
          <w:lang w:eastAsia="zh-CN"/>
        </w:rPr>
        <w:t>cor</w:t>
      </w:r>
      <w:r w:rsidR="00F10430">
        <w:rPr>
          <w:rFonts w:asciiTheme="minorHAnsi" w:eastAsiaTheme="minorEastAsia" w:hAnsiTheme="minorHAnsi" w:cstheme="minorHAnsi"/>
          <w:bCs/>
          <w:noProof w:val="0"/>
          <w:sz w:val="24"/>
          <w:szCs w:val="24"/>
          <w:lang w:eastAsia="zh-CN"/>
        </w:rPr>
        <w:t>e requirements</w:t>
      </w:r>
    </w:p>
    <w:p w14:paraId="032F9939" w14:textId="77777777" w:rsidR="0034111C" w:rsidRPr="00CD5E70" w:rsidRDefault="0034111C" w:rsidP="00C14120">
      <w:pPr>
        <w:pStyle w:val="Header"/>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Heading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0608CEC5" w14:textId="1BC3D404" w:rsidR="00357E4F" w:rsidRPr="00B04BDB" w:rsidRDefault="00EB28A8" w:rsidP="00357E4F">
      <w:pPr>
        <w:rPr>
          <w:rFonts w:eastAsia="宋体"/>
          <w:sz w:val="20"/>
          <w:szCs w:val="20"/>
        </w:rPr>
      </w:pPr>
      <w:r>
        <w:rPr>
          <w:rFonts w:eastAsia="宋体" w:hint="eastAsia"/>
          <w:sz w:val="20"/>
          <w:szCs w:val="20"/>
        </w:rPr>
        <w:t>Although</w:t>
      </w:r>
      <w:r>
        <w:rPr>
          <w:rFonts w:eastAsia="宋体"/>
          <w:sz w:val="20"/>
          <w:szCs w:val="20"/>
        </w:rPr>
        <w:t xml:space="preserve"> R18 </w:t>
      </w:r>
      <w:r w:rsidR="00F416C0">
        <w:rPr>
          <w:rFonts w:eastAsia="宋体" w:hint="eastAsia"/>
          <w:sz w:val="20"/>
          <w:szCs w:val="20"/>
          <w:lang w:eastAsia="zh-CN"/>
        </w:rPr>
        <w:t>mobility</w:t>
      </w:r>
      <w:r w:rsidR="00F416C0">
        <w:rPr>
          <w:rFonts w:eastAsia="宋体"/>
          <w:sz w:val="20"/>
          <w:szCs w:val="20"/>
        </w:rPr>
        <w:t xml:space="preserve"> </w:t>
      </w:r>
      <w:r>
        <w:rPr>
          <w:rFonts w:eastAsia="宋体"/>
          <w:sz w:val="20"/>
          <w:szCs w:val="20"/>
        </w:rPr>
        <w:t>has been closed</w:t>
      </w:r>
      <w:r w:rsidR="007744FC" w:rsidRPr="00B04BDB">
        <w:rPr>
          <w:rFonts w:eastAsia="宋体"/>
          <w:sz w:val="20"/>
          <w:szCs w:val="20"/>
        </w:rPr>
        <w:t xml:space="preserve">, </w:t>
      </w:r>
      <w:r>
        <w:rPr>
          <w:rFonts w:eastAsia="宋体"/>
          <w:sz w:val="20"/>
          <w:szCs w:val="20"/>
        </w:rPr>
        <w:t>there are some further optimization proposals which are still open. In addition, after further checking, we found some missed points in the past discussions</w:t>
      </w:r>
      <w:r w:rsidR="00327725" w:rsidRPr="00B04BDB">
        <w:rPr>
          <w:rFonts w:eastAsia="宋体"/>
          <w:sz w:val="20"/>
          <w:szCs w:val="20"/>
        </w:rPr>
        <w:t xml:space="preserve">. </w:t>
      </w:r>
      <w:r w:rsidR="00B322FD" w:rsidRPr="00B04BDB">
        <w:rPr>
          <w:rFonts w:eastAsia="宋体"/>
          <w:sz w:val="20"/>
          <w:szCs w:val="20"/>
        </w:rPr>
        <w:t>W</w:t>
      </w:r>
      <w:r w:rsidR="00866614" w:rsidRPr="00B04BDB">
        <w:rPr>
          <w:rFonts w:eastAsia="宋体"/>
          <w:sz w:val="20"/>
          <w:szCs w:val="20"/>
        </w:rPr>
        <w:t xml:space="preserve">e will </w:t>
      </w:r>
      <w:r w:rsidR="00B322FD" w:rsidRPr="00B04BDB">
        <w:rPr>
          <w:rFonts w:eastAsia="宋体"/>
          <w:sz w:val="20"/>
          <w:szCs w:val="20"/>
        </w:rPr>
        <w:t>discuss</w:t>
      </w:r>
      <w:r w:rsidR="00866614" w:rsidRPr="00B04BDB">
        <w:rPr>
          <w:rFonts w:eastAsia="宋体"/>
          <w:sz w:val="20"/>
          <w:szCs w:val="20"/>
        </w:rPr>
        <w:t xml:space="preserve"> </w:t>
      </w:r>
      <w:r>
        <w:rPr>
          <w:rFonts w:eastAsia="宋体"/>
          <w:sz w:val="20"/>
          <w:szCs w:val="20"/>
        </w:rPr>
        <w:t xml:space="preserve">the </w:t>
      </w:r>
      <w:r w:rsidR="00866614" w:rsidRPr="00B04BDB">
        <w:rPr>
          <w:rFonts w:eastAsia="宋体"/>
          <w:sz w:val="20"/>
          <w:szCs w:val="20"/>
        </w:rPr>
        <w:t xml:space="preserve">related issues in this </w:t>
      </w:r>
      <w:r w:rsidR="00B46D56" w:rsidRPr="00B04BDB">
        <w:rPr>
          <w:rFonts w:eastAsia="宋体"/>
          <w:sz w:val="20"/>
          <w:szCs w:val="20"/>
        </w:rPr>
        <w:t>contribution</w:t>
      </w:r>
      <w:r w:rsidR="00866614" w:rsidRPr="00B04BDB">
        <w:rPr>
          <w:rFonts w:eastAsia="宋体"/>
          <w:sz w:val="20"/>
          <w:szCs w:val="20"/>
        </w:rPr>
        <w:t>.</w:t>
      </w:r>
    </w:p>
    <w:p w14:paraId="2618E7F0" w14:textId="23DA31BA" w:rsidR="005575F9" w:rsidRDefault="00C51F3B" w:rsidP="00FB4AB0">
      <w:pPr>
        <w:pStyle w:val="Heading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3AC0F10C" w14:textId="7561DE32" w:rsidR="00825F74" w:rsidRPr="00541376" w:rsidRDefault="00CF755C" w:rsidP="00541376">
      <w:pPr>
        <w:pStyle w:val="Heading2"/>
        <w:rPr>
          <w:rFonts w:asciiTheme="minorHAnsi" w:hAnsiTheme="minorHAnsi" w:cstheme="minorHAnsi"/>
          <w:sz w:val="28"/>
          <w:szCs w:val="18"/>
        </w:rPr>
      </w:pPr>
      <w:bookmarkStart w:id="0" w:name="_Hlk142679663"/>
      <w:r w:rsidRPr="004F4EEC">
        <w:rPr>
          <w:rFonts w:asciiTheme="minorHAnsi" w:hAnsiTheme="minorHAnsi" w:cstheme="minorHAnsi"/>
          <w:sz w:val="28"/>
          <w:szCs w:val="18"/>
        </w:rPr>
        <w:t>2.</w:t>
      </w:r>
      <w:r w:rsidR="00541376">
        <w:rPr>
          <w:rFonts w:asciiTheme="minorHAnsi" w:hAnsiTheme="minorHAnsi" w:cstheme="minorHAnsi"/>
          <w:sz w:val="28"/>
          <w:szCs w:val="18"/>
        </w:rPr>
        <w:t>1</w:t>
      </w:r>
      <w:r w:rsidRPr="004F4EEC">
        <w:rPr>
          <w:rFonts w:asciiTheme="minorHAnsi" w:hAnsiTheme="minorHAnsi" w:cstheme="minorHAnsi"/>
          <w:sz w:val="28"/>
          <w:szCs w:val="18"/>
        </w:rPr>
        <w:t xml:space="preserve"> Early TCI state activation</w:t>
      </w:r>
    </w:p>
    <w:p w14:paraId="11BFEC9A" w14:textId="7E738419" w:rsidR="00337300" w:rsidRPr="00B04BDB" w:rsidRDefault="004A4002" w:rsidP="00CE53F0">
      <w:pPr>
        <w:rPr>
          <w:color w:val="000000"/>
          <w:sz w:val="20"/>
          <w:szCs w:val="20"/>
          <w:lang w:val="en-GB"/>
        </w:rPr>
      </w:pPr>
      <w:r>
        <w:rPr>
          <w:rFonts w:hint="eastAsia"/>
          <w:color w:val="000000"/>
          <w:sz w:val="20"/>
          <w:szCs w:val="20"/>
          <w:lang w:val="en-GB"/>
        </w:rPr>
        <w:t>Regarding</w:t>
      </w:r>
      <w:r>
        <w:rPr>
          <w:color w:val="000000"/>
          <w:sz w:val="20"/>
          <w:szCs w:val="20"/>
          <w:lang w:val="en-GB"/>
        </w:rPr>
        <w:t xml:space="preserve"> </w:t>
      </w:r>
      <w:r>
        <w:rPr>
          <w:rFonts w:hint="eastAsia"/>
          <w:color w:val="000000"/>
          <w:sz w:val="20"/>
          <w:szCs w:val="20"/>
          <w:lang w:val="en-GB"/>
        </w:rPr>
        <w:t>core</w:t>
      </w:r>
      <w:r>
        <w:rPr>
          <w:color w:val="000000"/>
          <w:sz w:val="20"/>
          <w:szCs w:val="20"/>
          <w:lang w:val="en-GB"/>
        </w:rPr>
        <w:t xml:space="preserve"> part requirements of early TCI state activation, there is still an “FFS” as shown below.</w:t>
      </w:r>
      <w:r w:rsidR="000B387D">
        <w:rPr>
          <w:color w:val="000000"/>
          <w:sz w:val="20"/>
          <w:szCs w:val="20"/>
          <w:lang w:val="en-GB"/>
        </w:rPr>
        <w:t xml:space="preserve"> </w:t>
      </w:r>
      <w:r w:rsidR="00C82D87">
        <w:rPr>
          <w:color w:val="000000"/>
          <w:sz w:val="20"/>
          <w:szCs w:val="20"/>
          <w:lang w:val="en-GB"/>
        </w:rPr>
        <w:t>In addition, after reviewing the requirements, we found a contradiction in the requirements. In the next, w</w:t>
      </w:r>
      <w:r w:rsidR="000B387D">
        <w:rPr>
          <w:color w:val="000000"/>
          <w:sz w:val="20"/>
          <w:szCs w:val="20"/>
          <w:lang w:val="en-GB"/>
        </w:rPr>
        <w:t>e would like to further discuss th</w:t>
      </w:r>
      <w:r w:rsidR="00C82D87">
        <w:rPr>
          <w:color w:val="000000"/>
          <w:sz w:val="20"/>
          <w:szCs w:val="20"/>
          <w:lang w:val="en-GB"/>
        </w:rPr>
        <w:t xml:space="preserve">e FFS and </w:t>
      </w:r>
      <w:r w:rsidR="00301289">
        <w:rPr>
          <w:color w:val="000000"/>
          <w:sz w:val="20"/>
          <w:szCs w:val="20"/>
          <w:lang w:val="en-GB"/>
        </w:rPr>
        <w:t xml:space="preserve">resolve </w:t>
      </w:r>
      <w:r w:rsidR="00C82D87">
        <w:rPr>
          <w:color w:val="000000"/>
          <w:sz w:val="20"/>
          <w:szCs w:val="20"/>
          <w:lang w:val="en-GB"/>
        </w:rPr>
        <w:t>the contradiction we found.</w:t>
      </w:r>
    </w:p>
    <w:tbl>
      <w:tblPr>
        <w:tblStyle w:val="TableGrid"/>
        <w:tblW w:w="0" w:type="auto"/>
        <w:tblLook w:val="04A0" w:firstRow="1" w:lastRow="0" w:firstColumn="1" w:lastColumn="0" w:noHBand="0" w:noVBand="1"/>
      </w:tblPr>
      <w:tblGrid>
        <w:gridCol w:w="9629"/>
      </w:tblGrid>
      <w:tr w:rsidR="004A4002" w14:paraId="638B9BCA" w14:textId="77777777" w:rsidTr="004A4002">
        <w:tc>
          <w:tcPr>
            <w:tcW w:w="9629" w:type="dxa"/>
          </w:tcPr>
          <w:p w14:paraId="279C0574" w14:textId="77777777" w:rsidR="004A4002" w:rsidRPr="004A4002" w:rsidRDefault="004A4002" w:rsidP="004A4002">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2"/>
                <w:szCs w:val="16"/>
              </w:rPr>
            </w:pPr>
            <w:bookmarkStart w:id="1" w:name="_Hlk146613989"/>
            <w:r w:rsidRPr="004A4002">
              <w:rPr>
                <w:rFonts w:ascii="Arial" w:eastAsia="Times New Roman" w:hAnsi="Arial" w:cs="Times New Roman"/>
                <w:kern w:val="0"/>
                <w:sz w:val="22"/>
                <w:szCs w:val="16"/>
                <w:lang w:eastAsia="en-GB"/>
              </w:rPr>
              <w:t>8.25.3</w:t>
            </w:r>
            <w:r w:rsidRPr="004A4002">
              <w:rPr>
                <w:rFonts w:ascii="Arial" w:eastAsia="Times New Roman" w:hAnsi="Arial" w:cs="Times New Roman"/>
                <w:kern w:val="0"/>
                <w:sz w:val="22"/>
                <w:szCs w:val="16"/>
                <w:lang w:eastAsia="en-GB"/>
              </w:rPr>
              <w:tab/>
            </w:r>
            <w:r w:rsidRPr="004A4002">
              <w:rPr>
                <w:rFonts w:ascii="Arial" w:eastAsia="Times New Roman" w:hAnsi="Arial" w:cs="Times New Roman" w:hint="eastAsia"/>
                <w:kern w:val="0"/>
                <w:sz w:val="22"/>
                <w:szCs w:val="16"/>
              </w:rPr>
              <w:t>SSB</w:t>
            </w:r>
            <w:r w:rsidRPr="004A4002">
              <w:rPr>
                <w:rFonts w:ascii="Arial" w:eastAsia="Times New Roman" w:hAnsi="Arial" w:cs="Times New Roman"/>
                <w:kern w:val="0"/>
                <w:sz w:val="22"/>
                <w:szCs w:val="16"/>
                <w:lang w:eastAsia="en-GB"/>
              </w:rPr>
              <w:t xml:space="preserve"> </w:t>
            </w:r>
            <w:r w:rsidRPr="004A4002">
              <w:rPr>
                <w:rFonts w:ascii="Arial" w:eastAsia="Times New Roman" w:hAnsi="Arial" w:cs="Times New Roman" w:hint="eastAsia"/>
                <w:kern w:val="0"/>
                <w:sz w:val="22"/>
                <w:szCs w:val="16"/>
              </w:rPr>
              <w:t>based</w:t>
            </w:r>
            <w:r w:rsidRPr="004A4002">
              <w:rPr>
                <w:rFonts w:ascii="Arial" w:eastAsia="Times New Roman" w:hAnsi="Arial" w:cs="Times New Roman"/>
                <w:kern w:val="0"/>
                <w:sz w:val="22"/>
                <w:szCs w:val="16"/>
                <w:lang w:eastAsia="en-GB"/>
              </w:rPr>
              <w:t xml:space="preserve"> TCI state activation </w:t>
            </w:r>
            <w:proofErr w:type="gramStart"/>
            <w:r w:rsidRPr="004A4002">
              <w:rPr>
                <w:rFonts w:ascii="Arial" w:eastAsia="Times New Roman" w:hAnsi="Arial" w:cs="Times New Roman" w:hint="eastAsia"/>
                <w:kern w:val="0"/>
                <w:sz w:val="22"/>
                <w:szCs w:val="16"/>
              </w:rPr>
              <w:t>delay</w:t>
            </w:r>
            <w:proofErr w:type="gramEnd"/>
          </w:p>
          <w:p w14:paraId="2789FBBF" w14:textId="77777777" w:rsidR="004A4002" w:rsidRPr="004A4002" w:rsidRDefault="004A4002" w:rsidP="004A4002">
            <w:pPr>
              <w:widowControl/>
              <w:overflowPunct w:val="0"/>
              <w:autoSpaceDE w:val="0"/>
              <w:autoSpaceDN w:val="0"/>
              <w:adjustRightInd w:val="0"/>
              <w:spacing w:after="180"/>
              <w:textAlignment w:val="baseline"/>
              <w:rPr>
                <w:rFonts w:ascii="Times New Roman" w:eastAsia="Times New Roman" w:hAnsi="Times New Roman" w:cs="Times New Roman"/>
                <w:kern w:val="0"/>
                <w:sz w:val="16"/>
                <w:szCs w:val="16"/>
              </w:rPr>
            </w:pPr>
            <w:r w:rsidRPr="004A4002">
              <w:rPr>
                <w:rFonts w:ascii="Times New Roman" w:eastAsia="Times New Roman" w:hAnsi="Times New Roman" w:cs="Times New Roman"/>
                <w:kern w:val="0"/>
                <w:sz w:val="16"/>
                <w:szCs w:val="16"/>
              </w:rPr>
              <w:t>In FR1, when</w:t>
            </w:r>
            <w:r w:rsidRPr="004A4002">
              <w:rPr>
                <w:rFonts w:ascii="Times New Roman" w:eastAsia="Malgun Gothic" w:hAnsi="Times New Roman" w:cs="Times New Roman"/>
                <w:kern w:val="0"/>
                <w:sz w:val="16"/>
                <w:szCs w:val="16"/>
              </w:rPr>
              <w:t xml:space="preserve"> the UE receives LTM candidate cell TCI state activation command at slot n</w:t>
            </w:r>
            <w:r w:rsidRPr="004A4002">
              <w:rPr>
                <w:rFonts w:ascii="Times New Roman" w:eastAsia="Times New Roman" w:hAnsi="Times New Roman" w:cs="Times New Roman"/>
                <w:kern w:val="0"/>
                <w:sz w:val="16"/>
                <w:szCs w:val="16"/>
              </w:rPr>
              <w:t>, the UE shall have completed the LTM TCI state list update in slot n</w:t>
            </w:r>
            <w:r w:rsidRPr="004A4002">
              <w:rPr>
                <w:rFonts w:ascii="Times New Roman" w:eastAsia="Malgun Gothic" w:hAnsi="Times New Roman" w:cs="Times New Roman"/>
                <w:kern w:val="0"/>
                <w:sz w:val="16"/>
                <w:szCs w:val="16"/>
              </w:rPr>
              <w:t xml:space="preserve"> + T</w:t>
            </w:r>
            <w:r w:rsidRPr="004A4002">
              <w:rPr>
                <w:rFonts w:ascii="Times New Roman" w:eastAsia="Malgun Gothic" w:hAnsi="Times New Roman" w:cs="Times New Roman"/>
                <w:kern w:val="0"/>
                <w:sz w:val="16"/>
                <w:szCs w:val="16"/>
                <w:vertAlign w:val="subscript"/>
              </w:rPr>
              <w:t>HARQ</w:t>
            </w:r>
            <w:r w:rsidRPr="004A4002">
              <w:rPr>
                <w:rFonts w:ascii="Times New Roman" w:eastAsia="Malgun Gothic" w:hAnsi="Times New Roman" w:cs="Times New Roman"/>
                <w:kern w:val="0"/>
                <w:sz w:val="16"/>
                <w:szCs w:val="16"/>
              </w:rPr>
              <w:t xml:space="preserve"> +</w:t>
            </w:r>
            <m:oMath>
              <m:sSubSup>
                <m:sSubSupPr>
                  <m:ctrlPr>
                    <w:rPr>
                      <w:rFonts w:ascii="Cambria Math" w:eastAsia="Times New Roman" w:hAnsi="Cambria Math" w:cs="Times New Roman"/>
                      <w:kern w:val="0"/>
                      <w:sz w:val="16"/>
                      <w:szCs w:val="16"/>
                      <w:lang w:eastAsia="en-GB"/>
                    </w:rPr>
                  </m:ctrlPr>
                </m:sSubSupPr>
                <m:e>
                  <m:r>
                    <m:rPr>
                      <m:sty m:val="p"/>
                    </m:rPr>
                    <w:rPr>
                      <w:rFonts w:ascii="Cambria Math" w:eastAsia="Times New Roman" w:hAnsi="Cambria Math" w:cs="Times New Roman"/>
                      <w:kern w:val="0"/>
                      <w:sz w:val="16"/>
                      <w:szCs w:val="16"/>
                      <w:lang w:eastAsia="en-GB"/>
                    </w:rPr>
                    <m:t>3N</m:t>
                  </m:r>
                </m:e>
                <m:sub>
                  <m:r>
                    <m:rPr>
                      <m:sty m:val="p"/>
                    </m:rPr>
                    <w:rPr>
                      <w:rFonts w:ascii="Cambria Math" w:eastAsia="Times New Roman" w:hAnsi="Cambria Math" w:cs="Times New Roman"/>
                      <w:kern w:val="0"/>
                      <w:sz w:val="16"/>
                      <w:szCs w:val="16"/>
                      <w:lang w:eastAsia="en-GB"/>
                    </w:rPr>
                    <m:t>slot</m:t>
                  </m:r>
                </m:sub>
                <m:sup>
                  <m:r>
                    <m:rPr>
                      <m:sty m:val="p"/>
                    </m:rPr>
                    <w:rPr>
                      <w:rFonts w:ascii="Cambria Math" w:eastAsia="Times New Roman" w:hAnsi="Cambria Math" w:cs="Times New Roman"/>
                      <w:kern w:val="0"/>
                      <w:sz w:val="16"/>
                      <w:szCs w:val="16"/>
                      <w:lang w:eastAsia="en-GB"/>
                    </w:rPr>
                    <m:t>subframe,µ</m:t>
                  </m:r>
                </m:sup>
              </m:sSubSup>
            </m:oMath>
            <w:r w:rsidRPr="004A4002">
              <w:rPr>
                <w:rFonts w:ascii="Times New Roman" w:eastAsia="Malgun Gothic" w:hAnsi="Times New Roman" w:cs="Times New Roman"/>
                <w:kern w:val="0"/>
                <w:sz w:val="16"/>
                <w:szCs w:val="16"/>
              </w:rPr>
              <w:t xml:space="preserve"> </w:t>
            </w:r>
            <w:r w:rsidRPr="004A4002">
              <w:rPr>
                <w:rFonts w:ascii="Times New Roman" w:eastAsia="Times New Roman" w:hAnsi="Times New Roman" w:cs="Times New Roman"/>
                <w:kern w:val="0"/>
                <w:sz w:val="16"/>
                <w:szCs w:val="16"/>
              </w:rPr>
              <w:t>+</w:t>
            </w:r>
            <w:r w:rsidRPr="004A4002">
              <w:rPr>
                <w:rFonts w:ascii="Times New Roman" w:eastAsia="Malgun Gothic" w:hAnsi="Times New Roman" w:cs="Times New Roman"/>
                <w:kern w:val="0"/>
                <w:sz w:val="16"/>
                <w:szCs w:val="16"/>
              </w:rPr>
              <w:t xml:space="preserve"> [</w:t>
            </w:r>
            <w:r w:rsidRPr="004A4002">
              <w:rPr>
                <w:rFonts w:ascii="Times New Roman" w:eastAsia="Times New Roman" w:hAnsi="Times New Roman" w:cs="Times New Roman"/>
                <w:color w:val="000000"/>
                <w:kern w:val="0"/>
                <w:sz w:val="13"/>
                <w:szCs w:val="13"/>
              </w:rPr>
              <w:t xml:space="preserve"> </w:t>
            </w:r>
            <w:r w:rsidRPr="004A4002">
              <w:rPr>
                <w:rFonts w:ascii="Times New Roman" w:eastAsia="Malgun Gothic" w:hAnsi="Times New Roman" w:cs="Times New Roman"/>
                <w:kern w:val="0"/>
                <w:sz w:val="16"/>
                <w:szCs w:val="16"/>
              </w:rPr>
              <w:t>TO</w:t>
            </w:r>
            <w:r w:rsidRPr="004A4002">
              <w:rPr>
                <w:rFonts w:ascii="Times New Roman" w:eastAsia="Malgun Gothic" w:hAnsi="Times New Roman" w:cs="Times New Roman"/>
                <w:kern w:val="0"/>
                <w:sz w:val="16"/>
                <w:szCs w:val="16"/>
                <w:vertAlign w:val="subscript"/>
              </w:rPr>
              <w:t>k</w:t>
            </w:r>
            <w:proofErr w:type="gramStart"/>
            <w:r w:rsidRPr="004A4002">
              <w:rPr>
                <w:rFonts w:ascii="Times New Roman" w:eastAsia="Malgun Gothic" w:hAnsi="Times New Roman" w:cs="Times New Roman"/>
                <w:kern w:val="0"/>
                <w:sz w:val="16"/>
                <w:szCs w:val="16"/>
              </w:rPr>
              <w:t>*( T</w:t>
            </w:r>
            <w:r w:rsidRPr="004A4002">
              <w:rPr>
                <w:rFonts w:ascii="Times New Roman" w:eastAsia="Malgun Gothic" w:hAnsi="Times New Roman" w:cs="Times New Roman"/>
                <w:kern w:val="0"/>
                <w:sz w:val="16"/>
                <w:szCs w:val="16"/>
                <w:vertAlign w:val="subscript"/>
              </w:rPr>
              <w:t>first</w:t>
            </w:r>
            <w:proofErr w:type="gramEnd"/>
            <w:r w:rsidRPr="004A4002">
              <w:rPr>
                <w:rFonts w:ascii="Times New Roman" w:eastAsia="Malgun Gothic" w:hAnsi="Times New Roman" w:cs="Times New Roman"/>
                <w:kern w:val="0"/>
                <w:sz w:val="16"/>
                <w:szCs w:val="16"/>
                <w:vertAlign w:val="subscript"/>
              </w:rPr>
              <w:t xml:space="preserve">-SSB </w:t>
            </w:r>
            <w:r w:rsidRPr="004A4002">
              <w:rPr>
                <w:rFonts w:ascii="Times New Roman" w:eastAsia="Malgun Gothic" w:hAnsi="Times New Roman" w:cs="Times New Roman"/>
                <w:kern w:val="0"/>
                <w:sz w:val="16"/>
                <w:szCs w:val="16"/>
              </w:rPr>
              <w:t>+ T</w:t>
            </w:r>
            <w:r w:rsidRPr="004A4002">
              <w:rPr>
                <w:rFonts w:ascii="Times New Roman" w:eastAsia="Malgun Gothic" w:hAnsi="Times New Roman" w:cs="Times New Roman"/>
                <w:kern w:val="0"/>
                <w:sz w:val="16"/>
                <w:szCs w:val="16"/>
                <w:vertAlign w:val="subscript"/>
              </w:rPr>
              <w:t>SSB-proc</w:t>
            </w:r>
            <w:r w:rsidRPr="004A4002">
              <w:rPr>
                <w:rFonts w:ascii="Times New Roman" w:eastAsia="Malgun Gothic" w:hAnsi="Times New Roman" w:cs="Times New Roman"/>
                <w:kern w:val="0"/>
                <w:sz w:val="16"/>
                <w:szCs w:val="16"/>
              </w:rPr>
              <w:t>) /</w:t>
            </w:r>
            <w:r w:rsidRPr="004A4002">
              <w:rPr>
                <w:rFonts w:ascii="Times New Roman" w:eastAsia="Times New Roman" w:hAnsi="Times New Roman" w:cs="Times New Roman"/>
                <w:i/>
                <w:kern w:val="0"/>
                <w:sz w:val="16"/>
                <w:szCs w:val="16"/>
              </w:rPr>
              <w:t xml:space="preserve"> NR slot length]</w:t>
            </w:r>
            <w:r w:rsidRPr="004A4002">
              <w:rPr>
                <w:rFonts w:ascii="Times New Roman" w:eastAsia="Times New Roman" w:hAnsi="Times New Roman" w:cs="Times New Roman"/>
                <w:kern w:val="0"/>
                <w:sz w:val="16"/>
                <w:szCs w:val="16"/>
              </w:rPr>
              <w:t xml:space="preserve">. In FR2, when all the target TCI states in the active TCI state list are known, </w:t>
            </w:r>
            <w:r w:rsidRPr="004A4002">
              <w:rPr>
                <w:rFonts w:ascii="Times New Roman" w:eastAsia="Malgun Gothic" w:hAnsi="Times New Roman" w:cs="Times New Roman"/>
                <w:kern w:val="0"/>
                <w:sz w:val="16"/>
                <w:szCs w:val="16"/>
              </w:rPr>
              <w:t>when the UE receives TCI state activation command at slot n</w:t>
            </w:r>
            <w:r w:rsidRPr="004A4002">
              <w:rPr>
                <w:rFonts w:ascii="Times New Roman" w:eastAsia="Times New Roman" w:hAnsi="Times New Roman" w:cs="Times New Roman"/>
                <w:kern w:val="0"/>
                <w:sz w:val="16"/>
                <w:szCs w:val="16"/>
              </w:rPr>
              <w:t>, UE shall have completed the LTM TCI state list update in slot n</w:t>
            </w:r>
            <w:r w:rsidRPr="004A4002">
              <w:rPr>
                <w:rFonts w:ascii="Times New Roman" w:eastAsia="Malgun Gothic" w:hAnsi="Times New Roman" w:cs="Times New Roman"/>
                <w:kern w:val="0"/>
                <w:sz w:val="16"/>
                <w:szCs w:val="16"/>
              </w:rPr>
              <w:t xml:space="preserve"> + T</w:t>
            </w:r>
            <w:r w:rsidRPr="004A4002">
              <w:rPr>
                <w:rFonts w:ascii="Times New Roman" w:eastAsia="Malgun Gothic" w:hAnsi="Times New Roman" w:cs="Times New Roman"/>
                <w:kern w:val="0"/>
                <w:sz w:val="16"/>
                <w:szCs w:val="16"/>
                <w:vertAlign w:val="subscript"/>
              </w:rPr>
              <w:t>HARQ</w:t>
            </w:r>
            <w:r w:rsidRPr="004A4002">
              <w:rPr>
                <w:rFonts w:ascii="Times New Roman" w:eastAsia="Malgun Gothic" w:hAnsi="Times New Roman" w:cs="Times New Roman"/>
                <w:kern w:val="0"/>
                <w:sz w:val="16"/>
                <w:szCs w:val="16"/>
              </w:rPr>
              <w:t xml:space="preserve"> +</w:t>
            </w:r>
            <m:oMath>
              <m:sSubSup>
                <m:sSubSupPr>
                  <m:ctrlPr>
                    <w:rPr>
                      <w:rFonts w:ascii="Cambria Math" w:eastAsia="Times New Roman" w:hAnsi="Cambria Math" w:cs="Times New Roman"/>
                      <w:kern w:val="0"/>
                      <w:sz w:val="16"/>
                      <w:szCs w:val="16"/>
                      <w:lang w:val="en-GB" w:eastAsia="en-GB"/>
                    </w:rPr>
                  </m:ctrlPr>
                </m:sSubSupPr>
                <m:e>
                  <m:r>
                    <m:rPr>
                      <m:sty m:val="p"/>
                    </m:rPr>
                    <w:rPr>
                      <w:rFonts w:ascii="Cambria Math" w:eastAsia="Times New Roman" w:hAnsi="Cambria Math" w:cs="Times New Roman"/>
                      <w:kern w:val="0"/>
                      <w:sz w:val="16"/>
                      <w:szCs w:val="16"/>
                      <w:lang w:eastAsia="en-GB"/>
                    </w:rPr>
                    <m:t>3N</m:t>
                  </m:r>
                </m:e>
                <m:sub>
                  <m:r>
                    <m:rPr>
                      <m:sty m:val="p"/>
                    </m:rPr>
                    <w:rPr>
                      <w:rFonts w:ascii="Cambria Math" w:eastAsia="Times New Roman" w:hAnsi="Cambria Math" w:cs="Times New Roman"/>
                      <w:kern w:val="0"/>
                      <w:sz w:val="16"/>
                      <w:szCs w:val="16"/>
                      <w:lang w:eastAsia="en-GB"/>
                    </w:rPr>
                    <m:t>slot</m:t>
                  </m:r>
                </m:sub>
                <m:sup>
                  <m:r>
                    <m:rPr>
                      <m:sty m:val="p"/>
                    </m:rPr>
                    <w:rPr>
                      <w:rFonts w:ascii="Cambria Math" w:eastAsia="Times New Roman" w:hAnsi="Cambria Math" w:cs="Times New Roman"/>
                      <w:kern w:val="0"/>
                      <w:sz w:val="16"/>
                      <w:szCs w:val="16"/>
                      <w:lang w:eastAsia="en-GB"/>
                    </w:rPr>
                    <m:t>subframe,µ</m:t>
                  </m:r>
                </m:sup>
              </m:sSubSup>
            </m:oMath>
            <w:r w:rsidRPr="004A4002">
              <w:rPr>
                <w:rFonts w:ascii="Times New Roman" w:eastAsia="Malgun Gothic" w:hAnsi="Times New Roman" w:cs="Times New Roman"/>
                <w:kern w:val="0"/>
                <w:sz w:val="16"/>
                <w:szCs w:val="16"/>
              </w:rPr>
              <w:t xml:space="preserve"> </w:t>
            </w:r>
            <w:r w:rsidRPr="004A4002">
              <w:rPr>
                <w:rFonts w:ascii="Times New Roman" w:eastAsia="Times New Roman" w:hAnsi="Times New Roman" w:cs="Times New Roman"/>
                <w:kern w:val="0"/>
                <w:sz w:val="16"/>
                <w:szCs w:val="16"/>
              </w:rPr>
              <w:t>+</w:t>
            </w:r>
            <w:r w:rsidRPr="004A4002">
              <w:rPr>
                <w:rFonts w:ascii="Times New Roman" w:eastAsia="Malgun Gothic" w:hAnsi="Times New Roman" w:cs="Times New Roman"/>
                <w:kern w:val="0"/>
                <w:sz w:val="16"/>
                <w:szCs w:val="16"/>
              </w:rPr>
              <w:t xml:space="preserve"> [</w:t>
            </w:r>
            <w:r w:rsidRPr="004A4002">
              <w:rPr>
                <w:rFonts w:ascii="Times New Roman" w:eastAsia="Times New Roman" w:hAnsi="Times New Roman" w:cs="Times New Roman"/>
                <w:color w:val="000000"/>
                <w:kern w:val="0"/>
                <w:sz w:val="13"/>
                <w:szCs w:val="13"/>
              </w:rPr>
              <w:t xml:space="preserve"> </w:t>
            </w:r>
            <w:r w:rsidRPr="004A4002">
              <w:rPr>
                <w:rFonts w:ascii="Times New Roman" w:eastAsia="Malgun Gothic" w:hAnsi="Times New Roman" w:cs="Times New Roman"/>
                <w:kern w:val="0"/>
                <w:sz w:val="16"/>
                <w:szCs w:val="16"/>
              </w:rPr>
              <w:t>TO</w:t>
            </w:r>
            <w:r w:rsidRPr="004A4002">
              <w:rPr>
                <w:rFonts w:ascii="Times New Roman" w:eastAsia="Malgun Gothic" w:hAnsi="Times New Roman" w:cs="Times New Roman"/>
                <w:kern w:val="0"/>
                <w:sz w:val="16"/>
                <w:szCs w:val="16"/>
                <w:vertAlign w:val="subscript"/>
              </w:rPr>
              <w:t>k</w:t>
            </w:r>
            <w:proofErr w:type="gramStart"/>
            <w:r w:rsidRPr="004A4002">
              <w:rPr>
                <w:rFonts w:ascii="Times New Roman" w:eastAsia="Malgun Gothic" w:hAnsi="Times New Roman" w:cs="Times New Roman"/>
                <w:kern w:val="0"/>
                <w:sz w:val="16"/>
                <w:szCs w:val="16"/>
              </w:rPr>
              <w:t>*( T</w:t>
            </w:r>
            <w:r w:rsidRPr="004A4002">
              <w:rPr>
                <w:rFonts w:ascii="Times New Roman" w:eastAsia="Malgun Gothic" w:hAnsi="Times New Roman" w:cs="Times New Roman"/>
                <w:kern w:val="0"/>
                <w:sz w:val="16"/>
                <w:szCs w:val="16"/>
                <w:vertAlign w:val="subscript"/>
              </w:rPr>
              <w:t>first</w:t>
            </w:r>
            <w:proofErr w:type="gramEnd"/>
            <w:r w:rsidRPr="004A4002">
              <w:rPr>
                <w:rFonts w:ascii="Times New Roman" w:eastAsia="Malgun Gothic" w:hAnsi="Times New Roman" w:cs="Times New Roman"/>
                <w:kern w:val="0"/>
                <w:sz w:val="16"/>
                <w:szCs w:val="16"/>
                <w:vertAlign w:val="subscript"/>
              </w:rPr>
              <w:t xml:space="preserve">-SSB </w:t>
            </w:r>
            <w:r w:rsidRPr="004A4002">
              <w:rPr>
                <w:rFonts w:ascii="Times New Roman" w:eastAsia="Malgun Gothic" w:hAnsi="Times New Roman" w:cs="Times New Roman"/>
                <w:kern w:val="0"/>
                <w:sz w:val="16"/>
                <w:szCs w:val="16"/>
              </w:rPr>
              <w:t>+ T</w:t>
            </w:r>
            <w:r w:rsidRPr="004A4002">
              <w:rPr>
                <w:rFonts w:ascii="Times New Roman" w:eastAsia="Malgun Gothic" w:hAnsi="Times New Roman" w:cs="Times New Roman"/>
                <w:kern w:val="0"/>
                <w:sz w:val="16"/>
                <w:szCs w:val="16"/>
                <w:vertAlign w:val="subscript"/>
              </w:rPr>
              <w:t>SSB-proc</w:t>
            </w:r>
            <w:r w:rsidRPr="004A4002">
              <w:rPr>
                <w:rFonts w:ascii="Times New Roman" w:eastAsia="Malgun Gothic" w:hAnsi="Times New Roman" w:cs="Times New Roman"/>
                <w:kern w:val="0"/>
                <w:sz w:val="16"/>
                <w:szCs w:val="16"/>
              </w:rPr>
              <w:t>) /</w:t>
            </w:r>
            <w:r w:rsidRPr="004A4002">
              <w:rPr>
                <w:rFonts w:ascii="Times New Roman" w:eastAsia="Times New Roman" w:hAnsi="Times New Roman" w:cs="Times New Roman"/>
                <w:i/>
                <w:kern w:val="0"/>
                <w:sz w:val="16"/>
                <w:szCs w:val="16"/>
              </w:rPr>
              <w:t xml:space="preserve"> NR slot length]</w:t>
            </w:r>
            <w:r w:rsidRPr="004A4002">
              <w:rPr>
                <w:rFonts w:ascii="Times New Roman" w:eastAsia="Times New Roman" w:hAnsi="Times New Roman" w:cs="Times New Roman"/>
                <w:kern w:val="0"/>
                <w:sz w:val="16"/>
                <w:szCs w:val="16"/>
              </w:rPr>
              <w:t>.</w:t>
            </w:r>
          </w:p>
          <w:p w14:paraId="738BA899" w14:textId="77777777" w:rsidR="004A4002" w:rsidRPr="004A4002" w:rsidRDefault="004A4002" w:rsidP="004A4002">
            <w:pPr>
              <w:widowControl/>
              <w:overflowPunct w:val="0"/>
              <w:autoSpaceDE w:val="0"/>
              <w:autoSpaceDN w:val="0"/>
              <w:adjustRightInd w:val="0"/>
              <w:spacing w:after="180"/>
              <w:textAlignment w:val="baseline"/>
              <w:rPr>
                <w:rFonts w:ascii="Times New Roman" w:eastAsia="Malgun Gothic" w:hAnsi="Times New Roman" w:cs="Times New Roman"/>
                <w:kern w:val="0"/>
                <w:sz w:val="16"/>
                <w:szCs w:val="16"/>
              </w:rPr>
            </w:pPr>
            <w:r w:rsidRPr="004A4002">
              <w:rPr>
                <w:rFonts w:ascii="Times New Roman" w:eastAsia="Malgun Gothic" w:hAnsi="Times New Roman" w:cs="Times New Roman"/>
                <w:kern w:val="0"/>
                <w:sz w:val="16"/>
                <w:szCs w:val="16"/>
              </w:rPr>
              <w:t>Where:</w:t>
            </w:r>
          </w:p>
          <w:p w14:paraId="4FCFEA18" w14:textId="77777777" w:rsidR="004A4002" w:rsidRPr="004A4002" w:rsidRDefault="004A4002" w:rsidP="004A4002">
            <w:pPr>
              <w:widowControl/>
              <w:overflowPunct w:val="0"/>
              <w:autoSpaceDE w:val="0"/>
              <w:autoSpaceDN w:val="0"/>
              <w:adjustRightInd w:val="0"/>
              <w:spacing w:after="180"/>
              <w:ind w:left="568" w:hanging="284"/>
              <w:textAlignment w:val="baseline"/>
              <w:rPr>
                <w:rFonts w:ascii="Times New Roman" w:eastAsia="Malgun Gothic" w:hAnsi="Times New Roman" w:cs="Times New Roman"/>
                <w:kern w:val="0"/>
                <w:sz w:val="16"/>
                <w:szCs w:val="16"/>
              </w:rPr>
            </w:pPr>
            <w:r w:rsidRPr="004A4002">
              <w:rPr>
                <w:rFonts w:ascii="Times New Roman" w:eastAsia="Calibri" w:hAnsi="Times New Roman" w:cs="Times New Roman"/>
                <w:kern w:val="0"/>
                <w:sz w:val="16"/>
                <w:szCs w:val="16"/>
                <w:lang w:val="en-GB"/>
              </w:rPr>
              <w:t>-</w:t>
            </w:r>
            <w:r w:rsidRPr="004A4002">
              <w:rPr>
                <w:rFonts w:ascii="Times New Roman" w:eastAsia="Calibri" w:hAnsi="Times New Roman" w:cs="Times New Roman"/>
                <w:kern w:val="0"/>
                <w:sz w:val="16"/>
                <w:szCs w:val="16"/>
                <w:lang w:val="en-GB"/>
              </w:rPr>
              <w:tab/>
            </w:r>
            <w:r w:rsidRPr="004A4002">
              <w:rPr>
                <w:rFonts w:ascii="Times New Roman" w:eastAsia="Calibri" w:hAnsi="Times New Roman" w:cs="Times New Roman"/>
                <w:kern w:val="0"/>
                <w:sz w:val="16"/>
                <w:szCs w:val="16"/>
                <w:lang w:val="en-GB" w:eastAsia="en-GB"/>
              </w:rPr>
              <w:t>T</w:t>
            </w:r>
            <w:r w:rsidRPr="004A4002">
              <w:rPr>
                <w:rFonts w:ascii="Times New Roman" w:eastAsia="Calibri" w:hAnsi="Times New Roman" w:cs="Times New Roman"/>
                <w:kern w:val="0"/>
                <w:sz w:val="16"/>
                <w:szCs w:val="16"/>
                <w:vertAlign w:val="subscript"/>
                <w:lang w:val="en-GB" w:eastAsia="en-GB"/>
              </w:rPr>
              <w:t>HARQ</w:t>
            </w:r>
            <w:r w:rsidRPr="004A4002">
              <w:rPr>
                <w:rFonts w:ascii="Times New Roman" w:eastAsia="Calibri" w:hAnsi="Times New Roman" w:cs="Times New Roman"/>
                <w:kern w:val="0"/>
                <w:sz w:val="16"/>
                <w:szCs w:val="16"/>
                <w:lang w:val="en-GB" w:eastAsia="en-GB"/>
              </w:rPr>
              <w:t xml:space="preserve"> is the timing between DL data transmission and acknowledgement as specified in TS 38.</w:t>
            </w:r>
            <w:r w:rsidRPr="004A4002">
              <w:rPr>
                <w:rFonts w:ascii="Times New Roman" w:eastAsia="Calibri" w:hAnsi="Times New Roman" w:cs="Times New Roman"/>
                <w:kern w:val="0"/>
                <w:sz w:val="16"/>
                <w:szCs w:val="16"/>
              </w:rPr>
              <w:t>213</w:t>
            </w:r>
            <w:r w:rsidRPr="004A4002">
              <w:rPr>
                <w:rFonts w:ascii="Times New Roman" w:eastAsia="Calibri" w:hAnsi="Times New Roman" w:cs="Times New Roman"/>
                <w:kern w:val="0"/>
                <w:sz w:val="16"/>
                <w:szCs w:val="16"/>
                <w:lang w:val="en-GB" w:eastAsia="en-GB"/>
              </w:rPr>
              <w:t> [</w:t>
            </w:r>
            <w:r w:rsidRPr="004A4002">
              <w:rPr>
                <w:rFonts w:ascii="Times New Roman" w:eastAsia="Calibri" w:hAnsi="Times New Roman" w:cs="Times New Roman"/>
                <w:kern w:val="0"/>
                <w:sz w:val="16"/>
                <w:szCs w:val="16"/>
              </w:rPr>
              <w:t>3</w:t>
            </w:r>
            <w:r w:rsidRPr="004A4002">
              <w:rPr>
                <w:rFonts w:ascii="Times New Roman" w:eastAsia="Calibri" w:hAnsi="Times New Roman" w:cs="Times New Roman"/>
                <w:kern w:val="0"/>
                <w:sz w:val="16"/>
                <w:szCs w:val="16"/>
                <w:lang w:val="en-GB" w:eastAsia="en-GB"/>
              </w:rPr>
              <w:t>]</w:t>
            </w:r>
            <w:r w:rsidRPr="004A4002">
              <w:rPr>
                <w:rFonts w:ascii="Times New Roman" w:eastAsia="Malgun Gothic" w:hAnsi="Times New Roman" w:cs="Times New Roman"/>
                <w:kern w:val="0"/>
                <w:sz w:val="16"/>
                <w:szCs w:val="16"/>
              </w:rPr>
              <w:t xml:space="preserve">. </w:t>
            </w:r>
          </w:p>
          <w:p w14:paraId="765485F0" w14:textId="77777777" w:rsidR="004A4002" w:rsidRPr="004A4002" w:rsidRDefault="004A4002" w:rsidP="004A4002">
            <w:pPr>
              <w:widowControl/>
              <w:overflowPunct w:val="0"/>
              <w:autoSpaceDE w:val="0"/>
              <w:autoSpaceDN w:val="0"/>
              <w:adjustRightInd w:val="0"/>
              <w:spacing w:after="180"/>
              <w:ind w:left="568" w:hanging="284"/>
              <w:textAlignment w:val="baseline"/>
              <w:rPr>
                <w:rFonts w:ascii="Times New Roman" w:eastAsia="Calibri" w:hAnsi="Times New Roman" w:cs="Times New Roman"/>
                <w:kern w:val="0"/>
                <w:sz w:val="16"/>
                <w:szCs w:val="16"/>
                <w:lang w:val="en-GB"/>
              </w:rPr>
            </w:pPr>
            <w:r w:rsidRPr="004A4002">
              <w:rPr>
                <w:rFonts w:ascii="Times New Roman" w:eastAsia="Calibri" w:hAnsi="Times New Roman" w:cs="Times New Roman"/>
                <w:kern w:val="0"/>
                <w:sz w:val="16"/>
                <w:szCs w:val="16"/>
                <w:lang w:val="en-GB"/>
              </w:rPr>
              <w:t>-</w:t>
            </w:r>
            <w:r w:rsidRPr="004A4002">
              <w:rPr>
                <w:rFonts w:ascii="Times New Roman" w:eastAsia="Calibri" w:hAnsi="Times New Roman" w:cs="Times New Roman"/>
                <w:kern w:val="0"/>
                <w:sz w:val="16"/>
                <w:szCs w:val="16"/>
                <w:lang w:val="en-GB"/>
              </w:rPr>
              <w:tab/>
            </w:r>
            <w:r w:rsidRPr="004A4002">
              <w:rPr>
                <w:rFonts w:ascii="Times New Roman" w:eastAsia="Times New Roman" w:hAnsi="Times New Roman" w:cs="Times New Roman"/>
                <w:kern w:val="0"/>
                <w:sz w:val="16"/>
                <w:szCs w:val="16"/>
                <w:lang w:eastAsia="en-GB"/>
              </w:rPr>
              <w:t>TO</w:t>
            </w:r>
            <w:r w:rsidRPr="004A4002">
              <w:rPr>
                <w:rFonts w:ascii="Times New Roman" w:eastAsia="Times New Roman" w:hAnsi="Times New Roman" w:cs="Times New Roman"/>
                <w:kern w:val="0"/>
                <w:sz w:val="16"/>
                <w:szCs w:val="16"/>
                <w:vertAlign w:val="subscript"/>
                <w:lang w:eastAsia="en-GB"/>
              </w:rPr>
              <w:t>k</w:t>
            </w:r>
            <w:r w:rsidRPr="004A4002">
              <w:rPr>
                <w:rFonts w:ascii="Times New Roman" w:eastAsia="Times New Roman" w:hAnsi="Times New Roman" w:cs="Times New Roman"/>
                <w:kern w:val="0"/>
                <w:sz w:val="16"/>
                <w:szCs w:val="16"/>
                <w:lang w:eastAsia="en-GB"/>
              </w:rPr>
              <w:t xml:space="preserve"> = 1 </w:t>
            </w:r>
            <w:r w:rsidRPr="004A4002">
              <w:rPr>
                <w:rFonts w:ascii="Times New Roman" w:eastAsia="Calibri" w:hAnsi="Times New Roman" w:cs="Times New Roman"/>
                <w:kern w:val="0"/>
                <w:sz w:val="16"/>
                <w:szCs w:val="16"/>
                <w:lang w:val="en-GB"/>
              </w:rPr>
              <w:t>if the target TCI state is not in the serving cell active TCI state list or LTM candidate cell active TCI state list, 0 otherwise.</w:t>
            </w:r>
          </w:p>
          <w:p w14:paraId="23A3459F" w14:textId="77777777" w:rsidR="004A4002" w:rsidRPr="004A4002" w:rsidRDefault="004A4002" w:rsidP="004A4002">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16"/>
                <w:szCs w:val="16"/>
              </w:rPr>
            </w:pPr>
            <w:r w:rsidRPr="004A4002">
              <w:rPr>
                <w:rFonts w:ascii="Times New Roman" w:eastAsia="Calibri" w:hAnsi="Times New Roman" w:cs="Times New Roman"/>
                <w:kern w:val="0"/>
                <w:sz w:val="16"/>
                <w:szCs w:val="16"/>
                <w:lang w:val="en-GB"/>
              </w:rPr>
              <w:t>-</w:t>
            </w:r>
            <w:r w:rsidRPr="004A4002">
              <w:rPr>
                <w:rFonts w:ascii="Times New Roman" w:eastAsia="Calibri" w:hAnsi="Times New Roman" w:cs="Times New Roman"/>
                <w:kern w:val="0"/>
                <w:sz w:val="16"/>
                <w:szCs w:val="16"/>
                <w:lang w:val="en-GB"/>
              </w:rPr>
              <w:tab/>
            </w:r>
            <w:r w:rsidRPr="004A4002">
              <w:rPr>
                <w:rFonts w:ascii="Times New Roman" w:eastAsia="Malgun Gothic" w:hAnsi="Times New Roman" w:cs="Times New Roman"/>
                <w:kern w:val="0"/>
                <w:sz w:val="16"/>
                <w:szCs w:val="16"/>
              </w:rPr>
              <w:t>T</w:t>
            </w:r>
            <w:r w:rsidRPr="004A4002">
              <w:rPr>
                <w:rFonts w:ascii="Times New Roman" w:eastAsia="Malgun Gothic" w:hAnsi="Times New Roman" w:cs="Times New Roman"/>
                <w:kern w:val="0"/>
                <w:sz w:val="16"/>
                <w:szCs w:val="16"/>
                <w:vertAlign w:val="subscript"/>
              </w:rPr>
              <w:t>first-SSB</w:t>
            </w:r>
            <w:r w:rsidRPr="004A4002">
              <w:rPr>
                <w:rFonts w:ascii="Times New Roman" w:eastAsia="Times New Roman" w:hAnsi="Times New Roman" w:cs="Times New Roman"/>
                <w:kern w:val="0"/>
                <w:sz w:val="16"/>
                <w:szCs w:val="16"/>
                <w:lang w:val="en-GB" w:eastAsia="en-GB"/>
              </w:rPr>
              <w:t xml:space="preserve"> is the time to first SSB occasion after</w:t>
            </w:r>
            <w:r w:rsidRPr="004A4002">
              <w:rPr>
                <w:rFonts w:ascii="Times New Roman" w:eastAsia="Malgun Gothic" w:hAnsi="Times New Roman" w:cs="Times New Roman"/>
                <w:kern w:val="0"/>
                <w:sz w:val="16"/>
                <w:szCs w:val="16"/>
              </w:rPr>
              <w:t xml:space="preserve"> </w:t>
            </w:r>
            <w:r w:rsidRPr="004A4002">
              <w:rPr>
                <w:rFonts w:ascii="Times New Roman" w:eastAsia="Times New Roman" w:hAnsi="Times New Roman" w:cs="Times New Roman"/>
                <w:kern w:val="0"/>
                <w:sz w:val="16"/>
                <w:szCs w:val="16"/>
                <w:lang w:eastAsia="en-GB"/>
              </w:rPr>
              <w:t>slot n</w:t>
            </w:r>
            <w:r w:rsidRPr="004A4002">
              <w:rPr>
                <w:rFonts w:ascii="Times New Roman" w:eastAsia="Malgun Gothic" w:hAnsi="Times New Roman" w:cs="Times New Roman"/>
                <w:kern w:val="0"/>
                <w:sz w:val="16"/>
                <w:szCs w:val="16"/>
                <w:lang w:eastAsia="en-GB"/>
              </w:rPr>
              <w:t xml:space="preserve"> + T</w:t>
            </w:r>
            <w:r w:rsidRPr="004A4002">
              <w:rPr>
                <w:rFonts w:ascii="Times New Roman" w:eastAsia="Malgun Gothic" w:hAnsi="Times New Roman" w:cs="Times New Roman"/>
                <w:kern w:val="0"/>
                <w:sz w:val="16"/>
                <w:szCs w:val="16"/>
                <w:vertAlign w:val="subscript"/>
                <w:lang w:eastAsia="en-GB"/>
              </w:rPr>
              <w:t>HARQ</w:t>
            </w:r>
            <w:r w:rsidRPr="004A4002">
              <w:rPr>
                <w:rFonts w:ascii="Times New Roman" w:eastAsia="Malgun Gothic" w:hAnsi="Times New Roman" w:cs="Times New Roman"/>
                <w:kern w:val="0"/>
                <w:sz w:val="16"/>
                <w:szCs w:val="16"/>
                <w:lang w:eastAsia="en-GB"/>
              </w:rPr>
              <w:t xml:space="preserve"> +</w:t>
            </w:r>
            <m:oMath>
              <m:sSubSup>
                <m:sSubSupPr>
                  <m:ctrlPr>
                    <w:rPr>
                      <w:rFonts w:ascii="Cambria Math" w:eastAsia="MS Mincho" w:hAnsi="Cambria Math" w:cs="宋体"/>
                      <w:kern w:val="0"/>
                      <w:szCs w:val="21"/>
                      <w:lang w:val="en-GB" w:eastAsia="en-GB"/>
                    </w:rPr>
                  </m:ctrlPr>
                </m:sSubSupPr>
                <m:e>
                  <m:r>
                    <m:rPr>
                      <m:sty m:val="p"/>
                    </m:rPr>
                    <w:rPr>
                      <w:rFonts w:ascii="Cambria Math" w:eastAsia="Times New Roman" w:hAnsi="Cambria Math" w:cs="Times New Roman"/>
                      <w:kern w:val="0"/>
                      <w:sz w:val="16"/>
                      <w:szCs w:val="16"/>
                      <w:lang w:eastAsia="en-GB"/>
                    </w:rPr>
                    <m:t>3N</m:t>
                  </m:r>
                </m:e>
                <m:sub>
                  <m:r>
                    <m:rPr>
                      <m:sty m:val="p"/>
                    </m:rPr>
                    <w:rPr>
                      <w:rFonts w:ascii="Cambria Math" w:eastAsia="Times New Roman" w:hAnsi="Cambria Math" w:cs="Times New Roman"/>
                      <w:kern w:val="0"/>
                      <w:sz w:val="16"/>
                      <w:szCs w:val="16"/>
                      <w:lang w:eastAsia="en-GB"/>
                    </w:rPr>
                    <m:t>slot</m:t>
                  </m:r>
                </m:sub>
                <m:sup>
                  <m:r>
                    <m:rPr>
                      <m:sty m:val="p"/>
                    </m:rPr>
                    <w:rPr>
                      <w:rFonts w:ascii="Cambria Math" w:eastAsia="Times New Roman" w:hAnsi="Cambria Math" w:cs="Times New Roman"/>
                      <w:kern w:val="0"/>
                      <w:sz w:val="16"/>
                      <w:szCs w:val="16"/>
                      <w:lang w:eastAsia="en-GB"/>
                    </w:rPr>
                    <m:t>subframe,µ</m:t>
                  </m:r>
                </m:sup>
              </m:sSubSup>
            </m:oMath>
            <w:r w:rsidRPr="004A4002">
              <w:rPr>
                <w:rFonts w:ascii="Times New Roman" w:eastAsia="Times New Roman" w:hAnsi="Times New Roman" w:cs="Times New Roman"/>
                <w:kern w:val="0"/>
                <w:sz w:val="16"/>
                <w:szCs w:val="16"/>
              </w:rPr>
              <w:t xml:space="preserve"> </w:t>
            </w:r>
            <w:r w:rsidRPr="004A4002">
              <w:rPr>
                <w:rFonts w:ascii="Times New Roman" w:eastAsia="Times New Roman" w:hAnsi="Times New Roman" w:cs="Times New Roman"/>
                <w:kern w:val="0"/>
                <w:sz w:val="16"/>
                <w:szCs w:val="16"/>
                <w:highlight w:val="lightGray"/>
              </w:rPr>
              <w:t>when the target SSB is within active BWP</w:t>
            </w:r>
            <w:r w:rsidRPr="004A4002">
              <w:rPr>
                <w:rFonts w:ascii="Times New Roman" w:eastAsia="Times New Roman" w:hAnsi="Times New Roman" w:cs="Times New Roman"/>
                <w:kern w:val="0"/>
                <w:sz w:val="16"/>
                <w:szCs w:val="16"/>
              </w:rPr>
              <w:t>,</w:t>
            </w:r>
            <w:r w:rsidRPr="004A4002">
              <w:rPr>
                <w:rFonts w:ascii="Times New Roman" w:eastAsia="Malgun Gothic" w:hAnsi="Times New Roman" w:cs="Times New Roman"/>
                <w:kern w:val="0"/>
                <w:sz w:val="16"/>
                <w:szCs w:val="16"/>
              </w:rPr>
              <w:t xml:space="preserve"> upon</w:t>
            </w:r>
            <w:r w:rsidRPr="004A4002">
              <w:rPr>
                <w:rFonts w:ascii="Times New Roman" w:eastAsia="Times New Roman" w:hAnsi="Times New Roman" w:cs="Times New Roman"/>
                <w:kern w:val="0"/>
                <w:sz w:val="16"/>
                <w:szCs w:val="16"/>
              </w:rPr>
              <w:t xml:space="preserve"> receiv</w:t>
            </w:r>
            <w:r w:rsidRPr="004A4002">
              <w:rPr>
                <w:rFonts w:ascii="Times New Roman" w:eastAsia="Malgun Gothic" w:hAnsi="Times New Roman" w:cs="Times New Roman"/>
                <w:kern w:val="0"/>
                <w:sz w:val="16"/>
                <w:szCs w:val="16"/>
              </w:rPr>
              <w:t>ing PDSCH carrying</w:t>
            </w:r>
            <w:r w:rsidRPr="004A4002">
              <w:rPr>
                <w:rFonts w:ascii="Times New Roman" w:eastAsia="Times New Roman" w:hAnsi="Times New Roman" w:cs="Times New Roman"/>
                <w:kern w:val="0"/>
                <w:sz w:val="16"/>
                <w:szCs w:val="16"/>
              </w:rPr>
              <w:t xml:space="preserve"> </w:t>
            </w:r>
            <w:r w:rsidRPr="004A4002">
              <w:rPr>
                <w:rFonts w:ascii="Times New Roman" w:eastAsia="Malgun Gothic" w:hAnsi="Times New Roman" w:cs="Times New Roman"/>
                <w:kern w:val="0"/>
                <w:sz w:val="16"/>
                <w:szCs w:val="16"/>
              </w:rPr>
              <w:t xml:space="preserve">MAC-CE activation command in slot </w:t>
            </w:r>
            <w:proofErr w:type="gramStart"/>
            <w:r w:rsidRPr="004A4002">
              <w:rPr>
                <w:rFonts w:ascii="Times New Roman" w:eastAsia="Malgun Gothic" w:hAnsi="Times New Roman" w:cs="Times New Roman"/>
                <w:kern w:val="0"/>
                <w:sz w:val="16"/>
                <w:szCs w:val="16"/>
              </w:rPr>
              <w:t>n</w:t>
            </w:r>
            <w:r w:rsidRPr="004A4002">
              <w:rPr>
                <w:rFonts w:ascii="Times New Roman" w:eastAsia="Times New Roman" w:hAnsi="Times New Roman" w:cs="Times New Roman"/>
                <w:kern w:val="0"/>
                <w:sz w:val="16"/>
                <w:szCs w:val="16"/>
              </w:rPr>
              <w:t>;</w:t>
            </w:r>
            <w:proofErr w:type="gramEnd"/>
          </w:p>
          <w:p w14:paraId="49B29AEF" w14:textId="77777777" w:rsidR="004A4002" w:rsidRPr="004A4002" w:rsidRDefault="004A4002" w:rsidP="004A4002">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16"/>
                <w:szCs w:val="16"/>
              </w:rPr>
            </w:pPr>
            <w:r w:rsidRPr="004A4002">
              <w:rPr>
                <w:rFonts w:ascii="Times New Roman" w:eastAsia="Calibri" w:hAnsi="Times New Roman" w:cs="Times New Roman"/>
                <w:kern w:val="0"/>
                <w:sz w:val="16"/>
                <w:szCs w:val="16"/>
                <w:lang w:val="en-GB"/>
              </w:rPr>
              <w:t>-</w:t>
            </w:r>
            <w:r w:rsidRPr="004A4002">
              <w:rPr>
                <w:rFonts w:ascii="Times New Roman" w:eastAsia="Calibri" w:hAnsi="Times New Roman" w:cs="Times New Roman"/>
                <w:kern w:val="0"/>
                <w:sz w:val="16"/>
                <w:szCs w:val="16"/>
                <w:lang w:val="en-GB"/>
              </w:rPr>
              <w:tab/>
            </w:r>
            <w:r w:rsidRPr="004A4002">
              <w:rPr>
                <w:rFonts w:ascii="Times New Roman" w:eastAsia="Malgun Gothic" w:hAnsi="Times New Roman" w:cs="Times New Roman"/>
                <w:kern w:val="0"/>
                <w:sz w:val="16"/>
                <w:szCs w:val="16"/>
              </w:rPr>
              <w:t>T</w:t>
            </w:r>
            <w:r w:rsidRPr="004A4002">
              <w:rPr>
                <w:rFonts w:ascii="Times New Roman" w:eastAsia="Malgun Gothic" w:hAnsi="Times New Roman" w:cs="Times New Roman"/>
                <w:kern w:val="0"/>
                <w:sz w:val="16"/>
                <w:szCs w:val="16"/>
                <w:vertAlign w:val="subscript"/>
              </w:rPr>
              <w:t>first-SSB</w:t>
            </w:r>
            <w:r w:rsidRPr="004A4002">
              <w:rPr>
                <w:rFonts w:ascii="Times New Roman" w:eastAsia="Times New Roman" w:hAnsi="Times New Roman" w:cs="Times New Roman"/>
                <w:kern w:val="0"/>
                <w:sz w:val="16"/>
                <w:szCs w:val="16"/>
                <w:lang w:val="en-GB" w:eastAsia="en-GB"/>
              </w:rPr>
              <w:t xml:space="preserve"> is the time to first SSB occasion overlapping with MGL after </w:t>
            </w:r>
            <w:r w:rsidRPr="004A4002">
              <w:rPr>
                <w:rFonts w:ascii="Times New Roman" w:eastAsia="Times New Roman" w:hAnsi="Times New Roman" w:cs="Times New Roman"/>
                <w:kern w:val="0"/>
                <w:sz w:val="16"/>
                <w:szCs w:val="16"/>
                <w:lang w:eastAsia="en-GB"/>
              </w:rPr>
              <w:t>slot n</w:t>
            </w:r>
            <w:r w:rsidRPr="004A4002">
              <w:rPr>
                <w:rFonts w:ascii="Times New Roman" w:eastAsia="Malgun Gothic" w:hAnsi="Times New Roman" w:cs="Times New Roman"/>
                <w:kern w:val="0"/>
                <w:sz w:val="16"/>
                <w:szCs w:val="16"/>
                <w:lang w:eastAsia="en-GB"/>
              </w:rPr>
              <w:t xml:space="preserve"> + T</w:t>
            </w:r>
            <w:r w:rsidRPr="004A4002">
              <w:rPr>
                <w:rFonts w:ascii="Times New Roman" w:eastAsia="Malgun Gothic" w:hAnsi="Times New Roman" w:cs="Times New Roman"/>
                <w:kern w:val="0"/>
                <w:sz w:val="16"/>
                <w:szCs w:val="16"/>
                <w:vertAlign w:val="subscript"/>
                <w:lang w:eastAsia="en-GB"/>
              </w:rPr>
              <w:t>HARQ</w:t>
            </w:r>
            <w:r w:rsidRPr="004A4002">
              <w:rPr>
                <w:rFonts w:ascii="Times New Roman" w:eastAsia="Malgun Gothic" w:hAnsi="Times New Roman" w:cs="Times New Roman"/>
                <w:kern w:val="0"/>
                <w:sz w:val="16"/>
                <w:szCs w:val="16"/>
                <w:lang w:eastAsia="en-GB"/>
              </w:rPr>
              <w:t xml:space="preserve"> +</w:t>
            </w:r>
            <m:oMath>
              <m:sSubSup>
                <m:sSubSupPr>
                  <m:ctrlPr>
                    <w:rPr>
                      <w:rFonts w:ascii="Cambria Math" w:eastAsia="MS Mincho" w:hAnsi="Cambria Math" w:cs="宋体"/>
                      <w:kern w:val="0"/>
                      <w:szCs w:val="21"/>
                      <w:lang w:val="en-GB" w:eastAsia="en-GB"/>
                    </w:rPr>
                  </m:ctrlPr>
                </m:sSubSupPr>
                <m:e>
                  <m:r>
                    <m:rPr>
                      <m:sty m:val="p"/>
                    </m:rPr>
                    <w:rPr>
                      <w:rFonts w:ascii="Cambria Math" w:eastAsia="Times New Roman" w:hAnsi="Cambria Math" w:cs="Times New Roman"/>
                      <w:kern w:val="0"/>
                      <w:sz w:val="16"/>
                      <w:szCs w:val="16"/>
                      <w:lang w:eastAsia="en-GB"/>
                    </w:rPr>
                    <m:t>3N</m:t>
                  </m:r>
                </m:e>
                <m:sub>
                  <m:r>
                    <m:rPr>
                      <m:sty m:val="p"/>
                    </m:rPr>
                    <w:rPr>
                      <w:rFonts w:ascii="Cambria Math" w:eastAsia="Times New Roman" w:hAnsi="Cambria Math" w:cs="Times New Roman"/>
                      <w:kern w:val="0"/>
                      <w:sz w:val="16"/>
                      <w:szCs w:val="16"/>
                      <w:lang w:eastAsia="en-GB"/>
                    </w:rPr>
                    <m:t>slot</m:t>
                  </m:r>
                </m:sub>
                <m:sup>
                  <m:r>
                    <m:rPr>
                      <m:sty m:val="p"/>
                    </m:rPr>
                    <w:rPr>
                      <w:rFonts w:ascii="Cambria Math" w:eastAsia="Times New Roman" w:hAnsi="Cambria Math" w:cs="Times New Roman"/>
                      <w:kern w:val="0"/>
                      <w:sz w:val="16"/>
                      <w:szCs w:val="16"/>
                      <w:lang w:eastAsia="en-GB"/>
                    </w:rPr>
                    <m:t>subframe,µ</m:t>
                  </m:r>
                </m:sup>
              </m:sSubSup>
            </m:oMath>
            <w:r w:rsidRPr="004A4002">
              <w:rPr>
                <w:rFonts w:ascii="Times New Roman" w:eastAsia="Malgun Gothic" w:hAnsi="Times New Roman" w:cs="Times New Roman"/>
                <w:kern w:val="0"/>
                <w:sz w:val="16"/>
                <w:szCs w:val="16"/>
                <w:lang w:val="en-GB" w:eastAsia="en-GB"/>
              </w:rPr>
              <w:t xml:space="preserve"> + 2ms </w:t>
            </w:r>
            <w:r w:rsidRPr="004A4002">
              <w:rPr>
                <w:rFonts w:ascii="Times New Roman" w:eastAsia="Times New Roman" w:hAnsi="Times New Roman" w:cs="Times New Roman"/>
                <w:kern w:val="0"/>
                <w:sz w:val="16"/>
                <w:szCs w:val="16"/>
                <w:highlight w:val="yellow"/>
                <w:lang w:val="en-GB" w:eastAsia="en-GB"/>
              </w:rPr>
              <w:t>if the SSB needs to be measured with MG</w:t>
            </w:r>
            <w:r w:rsidRPr="004A4002">
              <w:rPr>
                <w:rFonts w:ascii="Times New Roman" w:eastAsia="Times New Roman" w:hAnsi="Times New Roman" w:cs="Times New Roman"/>
                <w:kern w:val="0"/>
                <w:sz w:val="16"/>
                <w:szCs w:val="16"/>
                <w:lang w:val="en-GB" w:eastAsia="en-GB"/>
              </w:rPr>
              <w:t>,</w:t>
            </w:r>
            <w:r w:rsidRPr="004A4002">
              <w:rPr>
                <w:rFonts w:ascii="Times New Roman" w:eastAsia="Malgun Gothic" w:hAnsi="Times New Roman" w:cs="Times New Roman"/>
                <w:kern w:val="0"/>
                <w:sz w:val="16"/>
                <w:szCs w:val="16"/>
              </w:rPr>
              <w:t xml:space="preserve"> upon</w:t>
            </w:r>
            <w:r w:rsidRPr="004A4002">
              <w:rPr>
                <w:rFonts w:ascii="Times New Roman" w:eastAsia="Times New Roman" w:hAnsi="Times New Roman" w:cs="Times New Roman"/>
                <w:kern w:val="0"/>
                <w:sz w:val="16"/>
                <w:szCs w:val="16"/>
              </w:rPr>
              <w:t xml:space="preserve"> receiv</w:t>
            </w:r>
            <w:r w:rsidRPr="004A4002">
              <w:rPr>
                <w:rFonts w:ascii="Times New Roman" w:eastAsia="Malgun Gothic" w:hAnsi="Times New Roman" w:cs="Times New Roman"/>
                <w:kern w:val="0"/>
                <w:sz w:val="16"/>
                <w:szCs w:val="16"/>
              </w:rPr>
              <w:t>ing PDSCH carrying</w:t>
            </w:r>
            <w:r w:rsidRPr="004A4002">
              <w:rPr>
                <w:rFonts w:ascii="Times New Roman" w:eastAsia="Times New Roman" w:hAnsi="Times New Roman" w:cs="Times New Roman"/>
                <w:kern w:val="0"/>
                <w:sz w:val="16"/>
                <w:szCs w:val="16"/>
              </w:rPr>
              <w:t xml:space="preserve"> </w:t>
            </w:r>
            <w:r w:rsidRPr="004A4002">
              <w:rPr>
                <w:rFonts w:ascii="Times New Roman" w:eastAsia="Malgun Gothic" w:hAnsi="Times New Roman" w:cs="Times New Roman"/>
                <w:kern w:val="0"/>
                <w:sz w:val="16"/>
                <w:szCs w:val="16"/>
              </w:rPr>
              <w:t xml:space="preserve">MAC-CE activation command in slot </w:t>
            </w:r>
            <w:proofErr w:type="gramStart"/>
            <w:r w:rsidRPr="004A4002">
              <w:rPr>
                <w:rFonts w:ascii="Times New Roman" w:eastAsia="Malgun Gothic" w:hAnsi="Times New Roman" w:cs="Times New Roman"/>
                <w:kern w:val="0"/>
                <w:sz w:val="16"/>
                <w:szCs w:val="16"/>
              </w:rPr>
              <w:t>n</w:t>
            </w:r>
            <w:r w:rsidRPr="004A4002">
              <w:rPr>
                <w:rFonts w:ascii="Times New Roman" w:eastAsia="Times New Roman" w:hAnsi="Times New Roman" w:cs="Times New Roman"/>
                <w:kern w:val="0"/>
                <w:sz w:val="16"/>
                <w:szCs w:val="16"/>
              </w:rPr>
              <w:t>;</w:t>
            </w:r>
            <w:proofErr w:type="gramEnd"/>
          </w:p>
          <w:p w14:paraId="63EEA92D" w14:textId="77777777" w:rsidR="004A4002" w:rsidRPr="004A4002" w:rsidRDefault="004A4002" w:rsidP="004A4002">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16"/>
                <w:szCs w:val="16"/>
                <w:lang w:val="en-GB" w:eastAsia="en-GB"/>
              </w:rPr>
            </w:pPr>
            <w:r w:rsidRPr="004A4002">
              <w:rPr>
                <w:rFonts w:ascii="Times New Roman" w:eastAsia="Times New Roman" w:hAnsi="Times New Roman" w:cs="Times New Roman"/>
                <w:kern w:val="0"/>
                <w:sz w:val="16"/>
                <w:szCs w:val="16"/>
                <w:lang w:val="en-GB" w:eastAsia="en-GB"/>
              </w:rPr>
              <w:t>-</w:t>
            </w:r>
            <w:r w:rsidRPr="004A4002">
              <w:rPr>
                <w:rFonts w:ascii="Times New Roman" w:eastAsia="Times New Roman" w:hAnsi="Times New Roman" w:cs="Times New Roman"/>
                <w:kern w:val="0"/>
                <w:sz w:val="16"/>
                <w:szCs w:val="16"/>
                <w:lang w:val="en-GB" w:eastAsia="en-GB"/>
              </w:rPr>
              <w:tab/>
              <w:t>FFS: this is only applicable to UE supporting inter-frequency L1 measurement with MG.</w:t>
            </w:r>
          </w:p>
          <w:p w14:paraId="196F7296" w14:textId="3E362960" w:rsidR="004A4002" w:rsidRPr="004A4002" w:rsidRDefault="004A4002" w:rsidP="004A4002">
            <w:pPr>
              <w:widowControl/>
              <w:overflowPunct w:val="0"/>
              <w:autoSpaceDE w:val="0"/>
              <w:autoSpaceDN w:val="0"/>
              <w:adjustRightInd w:val="0"/>
              <w:spacing w:after="180"/>
              <w:ind w:left="568" w:hanging="284"/>
              <w:textAlignment w:val="baseline"/>
              <w:rPr>
                <w:rFonts w:ascii="Times New Roman" w:hAnsi="Times New Roman" w:cs="Times New Roman"/>
                <w:kern w:val="0"/>
                <w:sz w:val="20"/>
                <w:szCs w:val="20"/>
              </w:rPr>
            </w:pPr>
            <w:r w:rsidRPr="004A4002">
              <w:rPr>
                <w:rFonts w:ascii="Times New Roman" w:eastAsia="Times New Roman" w:hAnsi="Times New Roman" w:cs="Times New Roman"/>
                <w:kern w:val="0"/>
                <w:sz w:val="16"/>
                <w:szCs w:val="16"/>
                <w:lang w:val="en-GB"/>
              </w:rPr>
              <w:t>-</w:t>
            </w:r>
            <w:r w:rsidRPr="004A4002">
              <w:rPr>
                <w:rFonts w:ascii="Times New Roman" w:eastAsia="Times New Roman" w:hAnsi="Times New Roman" w:cs="Times New Roman"/>
                <w:kern w:val="0"/>
                <w:sz w:val="16"/>
                <w:szCs w:val="16"/>
                <w:lang w:val="en-GB"/>
              </w:rPr>
              <w:tab/>
            </w:r>
            <w:r w:rsidRPr="004A4002">
              <w:rPr>
                <w:rFonts w:ascii="Times New Roman" w:eastAsia="Times New Roman" w:hAnsi="Times New Roman" w:cs="Times New Roman"/>
                <w:kern w:val="0"/>
                <w:sz w:val="16"/>
                <w:szCs w:val="16"/>
              </w:rPr>
              <w:t>T</w:t>
            </w:r>
            <w:r w:rsidRPr="004A4002">
              <w:rPr>
                <w:rFonts w:ascii="Times New Roman" w:eastAsia="Times New Roman" w:hAnsi="Times New Roman" w:cs="Times New Roman"/>
                <w:kern w:val="0"/>
                <w:sz w:val="16"/>
                <w:szCs w:val="16"/>
                <w:vertAlign w:val="subscript"/>
              </w:rPr>
              <w:t xml:space="preserve">SSB-proc </w:t>
            </w:r>
            <w:r w:rsidRPr="004A4002">
              <w:rPr>
                <w:rFonts w:ascii="Times New Roman" w:eastAsia="Times New Roman" w:hAnsi="Times New Roman" w:cs="Times New Roman"/>
                <w:kern w:val="0"/>
                <w:sz w:val="16"/>
                <w:szCs w:val="16"/>
              </w:rPr>
              <w:t>= 2 ms.</w:t>
            </w:r>
          </w:p>
        </w:tc>
      </w:tr>
    </w:tbl>
    <w:p w14:paraId="6905535A" w14:textId="1D6EBA60" w:rsidR="004A4002" w:rsidRDefault="004A4002" w:rsidP="001E3C69">
      <w:pPr>
        <w:widowControl/>
        <w:spacing w:after="120"/>
        <w:rPr>
          <w:color w:val="000000"/>
          <w:sz w:val="20"/>
          <w:szCs w:val="20"/>
          <w:lang w:val="en-GB"/>
        </w:rPr>
      </w:pPr>
    </w:p>
    <w:p w14:paraId="552B9A84" w14:textId="3C81D21C" w:rsidR="00C82D87" w:rsidRDefault="00634F9F" w:rsidP="001E3C69">
      <w:pPr>
        <w:widowControl/>
        <w:spacing w:after="120"/>
        <w:rPr>
          <w:color w:val="000000"/>
          <w:sz w:val="20"/>
          <w:szCs w:val="20"/>
          <w:lang w:val="en-GB"/>
        </w:rPr>
      </w:pPr>
      <w:r>
        <w:rPr>
          <w:color w:val="000000"/>
          <w:sz w:val="20"/>
          <w:szCs w:val="20"/>
          <w:lang w:val="en-GB"/>
        </w:rPr>
        <w:t xml:space="preserve">In our understanding, two cases </w:t>
      </w:r>
      <w:r w:rsidR="00C82D87">
        <w:rPr>
          <w:color w:val="000000"/>
          <w:sz w:val="20"/>
          <w:szCs w:val="20"/>
          <w:lang w:val="en-GB"/>
        </w:rPr>
        <w:t xml:space="preserve">are considered </w:t>
      </w:r>
      <w:r>
        <w:rPr>
          <w:color w:val="000000"/>
          <w:sz w:val="20"/>
          <w:szCs w:val="20"/>
          <w:lang w:val="en-GB"/>
        </w:rPr>
        <w:t>w</w:t>
      </w:r>
      <w:r w:rsidR="00811F0B">
        <w:rPr>
          <w:color w:val="000000"/>
          <w:sz w:val="20"/>
          <w:szCs w:val="20"/>
          <w:lang w:val="en-GB"/>
        </w:rPr>
        <w:t xml:space="preserve">hen defining the requirements, </w:t>
      </w:r>
      <w:r>
        <w:rPr>
          <w:color w:val="000000"/>
          <w:sz w:val="20"/>
          <w:szCs w:val="20"/>
          <w:lang w:val="en-GB"/>
        </w:rPr>
        <w:t>T/F tracking without gap and T/F</w:t>
      </w:r>
      <w:r w:rsidR="00C82D87">
        <w:rPr>
          <w:color w:val="000000"/>
          <w:sz w:val="20"/>
          <w:szCs w:val="20"/>
          <w:lang w:val="en-GB"/>
        </w:rPr>
        <w:t xml:space="preserve"> tracking with gap.</w:t>
      </w:r>
      <w:r>
        <w:rPr>
          <w:color w:val="000000"/>
          <w:sz w:val="20"/>
          <w:szCs w:val="20"/>
          <w:lang w:val="en-GB"/>
        </w:rPr>
        <w:t xml:space="preserve"> </w:t>
      </w:r>
      <w:r w:rsidR="00C82D87">
        <w:rPr>
          <w:color w:val="000000"/>
          <w:sz w:val="20"/>
          <w:szCs w:val="20"/>
          <w:lang w:val="en-GB"/>
        </w:rPr>
        <w:t>As highlighted above, it seems there are two different logic</w:t>
      </w:r>
      <w:r w:rsidR="00684060">
        <w:rPr>
          <w:color w:val="000000"/>
          <w:sz w:val="20"/>
          <w:szCs w:val="20"/>
          <w:lang w:val="en-GB"/>
        </w:rPr>
        <w:t>s</w:t>
      </w:r>
      <w:r w:rsidR="00C82D87">
        <w:rPr>
          <w:color w:val="000000"/>
          <w:sz w:val="20"/>
          <w:szCs w:val="20"/>
          <w:lang w:val="en-GB"/>
        </w:rPr>
        <w:t xml:space="preserve"> in </w:t>
      </w:r>
      <w:r w:rsidR="0022547C">
        <w:rPr>
          <w:color w:val="000000"/>
          <w:sz w:val="20"/>
          <w:szCs w:val="20"/>
          <w:lang w:val="en-GB"/>
        </w:rPr>
        <w:t>defining</w:t>
      </w:r>
      <w:r w:rsidR="00C82D87">
        <w:rPr>
          <w:color w:val="000000"/>
          <w:sz w:val="20"/>
          <w:szCs w:val="20"/>
          <w:lang w:val="en-GB"/>
        </w:rPr>
        <w:t xml:space="preserve"> the requirements. One is to check whether target SSB is within active BWP or not (</w:t>
      </w:r>
      <w:r w:rsidR="00C82D87" w:rsidRPr="00C82D87">
        <w:rPr>
          <w:color w:val="000000"/>
          <w:sz w:val="20"/>
          <w:szCs w:val="20"/>
          <w:highlight w:val="lightGray"/>
          <w:lang w:val="en-GB"/>
        </w:rPr>
        <w:t>grey highlighted</w:t>
      </w:r>
      <w:r w:rsidR="00C82D87">
        <w:rPr>
          <w:color w:val="000000"/>
          <w:sz w:val="20"/>
          <w:szCs w:val="20"/>
          <w:lang w:val="en-GB"/>
        </w:rPr>
        <w:t xml:space="preserve"> part above). Another is to check whether MG is needed to perform measurement (</w:t>
      </w:r>
      <w:r w:rsidR="0017322C">
        <w:rPr>
          <w:color w:val="000000"/>
          <w:sz w:val="20"/>
          <w:szCs w:val="20"/>
          <w:highlight w:val="yellow"/>
          <w:lang w:val="en-GB"/>
        </w:rPr>
        <w:t>y</w:t>
      </w:r>
      <w:r w:rsidR="00C82D87" w:rsidRPr="00C82D87">
        <w:rPr>
          <w:color w:val="000000"/>
          <w:sz w:val="20"/>
          <w:szCs w:val="20"/>
          <w:highlight w:val="yellow"/>
          <w:lang w:val="en-GB"/>
        </w:rPr>
        <w:t>ellow highlighted</w:t>
      </w:r>
      <w:r w:rsidR="00C82D87">
        <w:rPr>
          <w:color w:val="000000"/>
          <w:sz w:val="20"/>
          <w:szCs w:val="20"/>
          <w:lang w:val="en-GB"/>
        </w:rPr>
        <w:t xml:space="preserve"> part above). </w:t>
      </w:r>
      <w:r w:rsidR="00301289">
        <w:rPr>
          <w:color w:val="000000"/>
          <w:sz w:val="20"/>
          <w:szCs w:val="20"/>
          <w:lang w:val="en-GB"/>
        </w:rPr>
        <w:t>They are not complementary to each other. For an example, SSB within active BWP may still need to be measured within gap if all SSB occasions are fully overlapped with gap. Another example is that</w:t>
      </w:r>
      <w:r w:rsidR="00684060">
        <w:rPr>
          <w:color w:val="000000"/>
          <w:sz w:val="20"/>
          <w:szCs w:val="20"/>
          <w:lang w:val="en-GB"/>
        </w:rPr>
        <w:t xml:space="preserve"> for </w:t>
      </w:r>
      <w:bookmarkStart w:id="2" w:name="_Hlk181783514"/>
      <w:r w:rsidR="00684060">
        <w:rPr>
          <w:color w:val="000000"/>
          <w:sz w:val="20"/>
          <w:szCs w:val="20"/>
          <w:lang w:val="en-GB"/>
        </w:rPr>
        <w:t>UE not supporting inter-frequency without gap</w:t>
      </w:r>
      <w:bookmarkEnd w:id="2"/>
      <w:r w:rsidR="00684060">
        <w:rPr>
          <w:color w:val="000000"/>
          <w:sz w:val="20"/>
          <w:szCs w:val="20"/>
          <w:lang w:val="en-GB"/>
        </w:rPr>
        <w:t>, it is not clear which one to follow</w:t>
      </w:r>
      <w:r w:rsidR="00D37FF2">
        <w:rPr>
          <w:color w:val="000000"/>
          <w:sz w:val="20"/>
          <w:szCs w:val="20"/>
          <w:lang w:val="en-GB"/>
        </w:rPr>
        <w:t xml:space="preserve"> when the </w:t>
      </w:r>
      <w:r w:rsidR="0022547C">
        <w:rPr>
          <w:color w:val="000000"/>
          <w:sz w:val="20"/>
          <w:szCs w:val="20"/>
          <w:lang w:val="en-GB"/>
        </w:rPr>
        <w:t xml:space="preserve">target </w:t>
      </w:r>
      <w:r w:rsidR="00D37FF2">
        <w:rPr>
          <w:color w:val="000000"/>
          <w:sz w:val="20"/>
          <w:szCs w:val="20"/>
          <w:lang w:val="en-GB"/>
        </w:rPr>
        <w:t>SSB is inter-frequency but within active BWP</w:t>
      </w:r>
      <w:r w:rsidR="00684060">
        <w:rPr>
          <w:color w:val="000000"/>
          <w:sz w:val="20"/>
          <w:szCs w:val="20"/>
          <w:lang w:val="en-GB"/>
        </w:rPr>
        <w:t>.</w:t>
      </w:r>
      <w:r w:rsidR="0022547C">
        <w:rPr>
          <w:color w:val="000000"/>
          <w:sz w:val="20"/>
          <w:szCs w:val="20"/>
          <w:lang w:val="en-GB"/>
        </w:rPr>
        <w:t xml:space="preserve"> </w:t>
      </w:r>
      <w:r w:rsidR="00301289">
        <w:rPr>
          <w:color w:val="000000"/>
          <w:sz w:val="20"/>
          <w:szCs w:val="20"/>
          <w:lang w:val="en-GB"/>
        </w:rPr>
        <w:t xml:space="preserve">Therefore, Clarifications are needed. </w:t>
      </w:r>
    </w:p>
    <w:p w14:paraId="5704192D" w14:textId="542A04EC" w:rsidR="0022547C" w:rsidRDefault="0022547C" w:rsidP="001E3C69">
      <w:pPr>
        <w:widowControl/>
        <w:spacing w:after="120"/>
        <w:rPr>
          <w:color w:val="000000"/>
          <w:sz w:val="20"/>
          <w:szCs w:val="20"/>
          <w:lang w:val="en-GB"/>
        </w:rPr>
      </w:pPr>
      <w:r>
        <w:rPr>
          <w:rFonts w:hint="eastAsia"/>
          <w:color w:val="000000"/>
          <w:sz w:val="20"/>
          <w:szCs w:val="20"/>
          <w:lang w:val="en-GB"/>
        </w:rPr>
        <w:t>I</w:t>
      </w:r>
      <w:r>
        <w:rPr>
          <w:color w:val="000000"/>
          <w:sz w:val="20"/>
          <w:szCs w:val="20"/>
          <w:lang w:val="en-GB"/>
        </w:rPr>
        <w:t xml:space="preserve">n our view, </w:t>
      </w:r>
      <w:r w:rsidR="00D170B3">
        <w:rPr>
          <w:color w:val="000000"/>
          <w:sz w:val="20"/>
          <w:szCs w:val="20"/>
          <w:lang w:val="en-GB"/>
        </w:rPr>
        <w:t>RAN4 already figured out a framework since Rel-15</w:t>
      </w:r>
      <w:r w:rsidR="00F179A4">
        <w:rPr>
          <w:color w:val="000000"/>
          <w:sz w:val="20"/>
          <w:szCs w:val="20"/>
          <w:lang w:val="en-GB"/>
        </w:rPr>
        <w:t xml:space="preserve"> on which to be measured within gap or outside gap</w:t>
      </w:r>
      <w:r w:rsidR="00D170B3">
        <w:rPr>
          <w:color w:val="000000"/>
          <w:sz w:val="20"/>
          <w:szCs w:val="20"/>
          <w:lang w:val="en-GB"/>
        </w:rPr>
        <w:t>. W</w:t>
      </w:r>
      <w:r>
        <w:rPr>
          <w:color w:val="000000"/>
          <w:sz w:val="20"/>
          <w:szCs w:val="20"/>
          <w:lang w:val="en-GB"/>
        </w:rPr>
        <w:t xml:space="preserve">e should </w:t>
      </w:r>
      <w:r w:rsidR="00D170B3">
        <w:rPr>
          <w:color w:val="000000"/>
          <w:sz w:val="20"/>
          <w:szCs w:val="20"/>
          <w:lang w:val="en-GB"/>
        </w:rPr>
        <w:t>re-use the conclusions as much as possible</w:t>
      </w:r>
      <w:r>
        <w:rPr>
          <w:color w:val="000000"/>
          <w:sz w:val="20"/>
          <w:szCs w:val="20"/>
          <w:lang w:val="en-GB"/>
        </w:rPr>
        <w:t xml:space="preserve">, i.e., check whether </w:t>
      </w:r>
      <w:r w:rsidR="00D170B3">
        <w:rPr>
          <w:color w:val="000000"/>
          <w:sz w:val="20"/>
          <w:szCs w:val="20"/>
          <w:lang w:val="en-GB"/>
        </w:rPr>
        <w:t xml:space="preserve">the measurement is done within or outside </w:t>
      </w:r>
      <w:r>
        <w:rPr>
          <w:color w:val="000000"/>
          <w:sz w:val="20"/>
          <w:szCs w:val="20"/>
          <w:lang w:val="en-GB"/>
        </w:rPr>
        <w:t xml:space="preserve">MG. Here we only define the </w:t>
      </w:r>
      <w:r w:rsidR="009A31EE">
        <w:rPr>
          <w:color w:val="000000"/>
          <w:sz w:val="20"/>
          <w:szCs w:val="20"/>
          <w:lang w:val="en-GB"/>
        </w:rPr>
        <w:t xml:space="preserve">requirements on the </w:t>
      </w:r>
      <w:r>
        <w:rPr>
          <w:color w:val="000000"/>
          <w:sz w:val="20"/>
          <w:szCs w:val="20"/>
          <w:lang w:val="en-GB"/>
        </w:rPr>
        <w:t xml:space="preserve">first </w:t>
      </w:r>
      <w:r w:rsidR="009A31EE">
        <w:rPr>
          <w:color w:val="000000"/>
          <w:sz w:val="20"/>
          <w:szCs w:val="20"/>
          <w:lang w:val="en-GB"/>
        </w:rPr>
        <w:t xml:space="preserve">T/F tracking. After TCI state activation, UE is supposed to do periodic or several shots of T/F tracking within or </w:t>
      </w:r>
      <w:r w:rsidR="00D170B3">
        <w:rPr>
          <w:color w:val="000000"/>
          <w:sz w:val="20"/>
          <w:szCs w:val="20"/>
          <w:lang w:val="en-GB"/>
        </w:rPr>
        <w:t xml:space="preserve">outside </w:t>
      </w:r>
      <w:r w:rsidR="009A31EE">
        <w:rPr>
          <w:color w:val="000000"/>
          <w:sz w:val="20"/>
          <w:szCs w:val="20"/>
          <w:lang w:val="en-GB"/>
        </w:rPr>
        <w:t>MG following measurement. We prefer to have aligned requirements and UE behaviour.</w:t>
      </w:r>
    </w:p>
    <w:p w14:paraId="6A7E074E" w14:textId="632B3657" w:rsidR="00D37FF2" w:rsidRPr="00B04BDB" w:rsidRDefault="00D37FF2" w:rsidP="00D37FF2">
      <w:pPr>
        <w:spacing w:beforeLines="50" w:before="120" w:afterLines="50" w:after="120"/>
        <w:rPr>
          <w:rFonts w:cstheme="minorHAnsi"/>
          <w:b/>
          <w:sz w:val="20"/>
          <w:szCs w:val="20"/>
        </w:rPr>
      </w:pPr>
      <w:r>
        <w:rPr>
          <w:rFonts w:cstheme="minorHAnsi"/>
          <w:b/>
          <w:sz w:val="20"/>
          <w:szCs w:val="20"/>
        </w:rPr>
        <w:t>Observation</w:t>
      </w:r>
      <w:r w:rsidRPr="00B04BDB">
        <w:rPr>
          <w:rFonts w:cstheme="minorHAnsi"/>
          <w:b/>
          <w:sz w:val="20"/>
          <w:szCs w:val="20"/>
        </w:rPr>
        <w:t xml:space="preserve"> </w:t>
      </w:r>
      <w:r>
        <w:rPr>
          <w:rFonts w:cstheme="minorHAnsi"/>
          <w:b/>
          <w:sz w:val="20"/>
          <w:szCs w:val="20"/>
        </w:rPr>
        <w:t>1</w:t>
      </w:r>
      <w:r w:rsidRPr="00B04BDB">
        <w:rPr>
          <w:rFonts w:cstheme="minorHAnsi"/>
          <w:b/>
          <w:sz w:val="20"/>
          <w:szCs w:val="20"/>
        </w:rPr>
        <w:t xml:space="preserve">: </w:t>
      </w:r>
      <w:r w:rsidR="00BB4114">
        <w:rPr>
          <w:rFonts w:cstheme="minorHAnsi"/>
          <w:b/>
          <w:sz w:val="20"/>
          <w:szCs w:val="20"/>
        </w:rPr>
        <w:t xml:space="preserve">In </w:t>
      </w:r>
      <w:r>
        <w:rPr>
          <w:rFonts w:cstheme="minorHAnsi"/>
          <w:b/>
          <w:sz w:val="20"/>
          <w:szCs w:val="20"/>
        </w:rPr>
        <w:t>early TCI state activation requirements</w:t>
      </w:r>
      <w:r w:rsidR="00BB4114">
        <w:rPr>
          <w:rFonts w:cstheme="minorHAnsi"/>
          <w:b/>
          <w:sz w:val="20"/>
          <w:szCs w:val="20"/>
        </w:rPr>
        <w:t xml:space="preserve">, it is not </w:t>
      </w:r>
      <w:r w:rsidR="00D170B3">
        <w:rPr>
          <w:rFonts w:cstheme="minorHAnsi"/>
          <w:b/>
          <w:sz w:val="20"/>
          <w:szCs w:val="20"/>
        </w:rPr>
        <w:t xml:space="preserve">precise to capture the requirement based on whether SSB is within the BWP or whether the SSB is to be measured with MG. </w:t>
      </w:r>
    </w:p>
    <w:p w14:paraId="2F96017B" w14:textId="6E943FCF" w:rsidR="00F87CFB" w:rsidRPr="00B04BDB" w:rsidRDefault="00F87CFB" w:rsidP="00F87CFB">
      <w:pPr>
        <w:spacing w:beforeLines="50" w:before="120" w:afterLines="50" w:after="120"/>
        <w:rPr>
          <w:rFonts w:cstheme="minorHAnsi"/>
          <w:b/>
          <w:sz w:val="20"/>
          <w:szCs w:val="20"/>
        </w:rPr>
      </w:pPr>
      <w:r>
        <w:rPr>
          <w:rFonts w:cstheme="minorHAnsi"/>
          <w:b/>
          <w:sz w:val="20"/>
          <w:szCs w:val="20"/>
        </w:rPr>
        <w:lastRenderedPageBreak/>
        <w:t>Proposal</w:t>
      </w:r>
      <w:r w:rsidRPr="00B04BDB">
        <w:rPr>
          <w:rFonts w:cstheme="minorHAnsi"/>
          <w:b/>
          <w:sz w:val="20"/>
          <w:szCs w:val="20"/>
        </w:rPr>
        <w:t xml:space="preserve"> </w:t>
      </w:r>
      <w:r>
        <w:rPr>
          <w:rFonts w:cstheme="minorHAnsi"/>
          <w:b/>
          <w:sz w:val="20"/>
          <w:szCs w:val="20"/>
        </w:rPr>
        <w:t>1</w:t>
      </w:r>
      <w:r w:rsidRPr="00B04BDB">
        <w:rPr>
          <w:rFonts w:cstheme="minorHAnsi"/>
          <w:b/>
          <w:sz w:val="20"/>
          <w:szCs w:val="20"/>
        </w:rPr>
        <w:t xml:space="preserve">: </w:t>
      </w:r>
      <w:r>
        <w:rPr>
          <w:rFonts w:cstheme="minorHAnsi"/>
          <w:b/>
          <w:sz w:val="20"/>
          <w:szCs w:val="20"/>
        </w:rPr>
        <w:t xml:space="preserve">In early TCI state activation requirements, </w:t>
      </w:r>
      <w:bookmarkStart w:id="3" w:name="OLE_LINK1"/>
      <w:r w:rsidR="00D170B3">
        <w:rPr>
          <w:rFonts w:cstheme="minorHAnsi"/>
          <w:b/>
          <w:sz w:val="20"/>
          <w:szCs w:val="20"/>
        </w:rPr>
        <w:t>differentiate the cases based on whether the SSB is to be measured within or outside gap</w:t>
      </w:r>
      <w:bookmarkEnd w:id="3"/>
      <w:r w:rsidR="00D170B3">
        <w:rPr>
          <w:rFonts w:cstheme="minorHAnsi"/>
          <w:b/>
          <w:sz w:val="20"/>
          <w:szCs w:val="20"/>
        </w:rPr>
        <w:t>.</w:t>
      </w:r>
    </w:p>
    <w:p w14:paraId="43CC1138" w14:textId="77777777" w:rsidR="0017322C" w:rsidRDefault="0017322C" w:rsidP="001E3C69">
      <w:pPr>
        <w:widowControl/>
        <w:spacing w:after="120"/>
        <w:rPr>
          <w:color w:val="000000"/>
          <w:sz w:val="20"/>
          <w:szCs w:val="20"/>
        </w:rPr>
      </w:pPr>
    </w:p>
    <w:p w14:paraId="0FF5F381" w14:textId="4860E927" w:rsidR="0091257C" w:rsidRDefault="0017322C" w:rsidP="0091257C">
      <w:pPr>
        <w:rPr>
          <w:color w:val="000000"/>
          <w:sz w:val="20"/>
          <w:szCs w:val="20"/>
        </w:rPr>
      </w:pPr>
      <w:r>
        <w:rPr>
          <w:rFonts w:hint="eastAsia"/>
          <w:color w:val="000000"/>
          <w:sz w:val="20"/>
          <w:szCs w:val="20"/>
        </w:rPr>
        <w:t>R</w:t>
      </w:r>
      <w:r>
        <w:rPr>
          <w:color w:val="000000"/>
          <w:sz w:val="20"/>
          <w:szCs w:val="20"/>
        </w:rPr>
        <w:t xml:space="preserve">egarding the “FFS”, we think the proponent’s concern is what if inter-frequency tracking is not supported. It seems reasonable to </w:t>
      </w:r>
      <w:r w:rsidR="0028617E">
        <w:rPr>
          <w:color w:val="000000"/>
          <w:sz w:val="20"/>
          <w:szCs w:val="20"/>
        </w:rPr>
        <w:t>discuss</w:t>
      </w:r>
      <w:r>
        <w:rPr>
          <w:color w:val="000000"/>
          <w:sz w:val="20"/>
          <w:szCs w:val="20"/>
        </w:rPr>
        <w:t xml:space="preserve"> </w:t>
      </w:r>
      <w:r w:rsidR="0028617E">
        <w:rPr>
          <w:color w:val="000000"/>
          <w:sz w:val="20"/>
          <w:szCs w:val="20"/>
        </w:rPr>
        <w:t>the</w:t>
      </w:r>
      <w:r>
        <w:rPr>
          <w:color w:val="000000"/>
          <w:sz w:val="20"/>
          <w:szCs w:val="20"/>
        </w:rPr>
        <w:t xml:space="preserve"> applicable condition, but the current proposed condition is not acceptable to us. </w:t>
      </w:r>
      <w:r w:rsidR="00CB5C6A">
        <w:rPr>
          <w:color w:val="000000"/>
          <w:sz w:val="20"/>
          <w:szCs w:val="20"/>
        </w:rPr>
        <w:t xml:space="preserve">In </w:t>
      </w:r>
      <w:r w:rsidR="0093443A">
        <w:rPr>
          <w:color w:val="000000"/>
          <w:sz w:val="20"/>
          <w:szCs w:val="20"/>
        </w:rPr>
        <w:t>RAN4#112</w:t>
      </w:r>
      <w:r w:rsidR="00CB5C6A">
        <w:rPr>
          <w:color w:val="000000"/>
          <w:sz w:val="20"/>
          <w:szCs w:val="20"/>
        </w:rPr>
        <w:t xml:space="preserve"> meeting, </w:t>
      </w:r>
      <w:r w:rsidR="0091257C" w:rsidRPr="0091257C">
        <w:rPr>
          <w:color w:val="000000"/>
          <w:sz w:val="20"/>
          <w:szCs w:val="20"/>
        </w:rPr>
        <w:t xml:space="preserve">given the RAN2 agreement that RAN2 has defined separate capabilities for intra and inter frequency LTM cell switch, </w:t>
      </w:r>
      <w:r w:rsidR="0091257C">
        <w:rPr>
          <w:color w:val="000000"/>
          <w:sz w:val="20"/>
          <w:szCs w:val="20"/>
        </w:rPr>
        <w:t xml:space="preserve">RAN2 sent an LS </w:t>
      </w:r>
      <w:r w:rsidR="0091257C" w:rsidRPr="0091257C">
        <w:rPr>
          <w:color w:val="000000"/>
          <w:sz w:val="20"/>
          <w:szCs w:val="20"/>
        </w:rPr>
        <w:t>to check with RAN1 if the UE support of RAN1 features 45-3a/4a, 45-5/5a/6 should also be indicated separately for intra and inter-frequency LTM cell switch.</w:t>
      </w:r>
      <w:r w:rsidR="0091257C">
        <w:rPr>
          <w:color w:val="000000"/>
          <w:sz w:val="20"/>
          <w:szCs w:val="20"/>
        </w:rPr>
        <w:t xml:space="preserve"> And RAN1 replied as below:</w:t>
      </w:r>
    </w:p>
    <w:p w14:paraId="07DBBF91" w14:textId="77777777" w:rsidR="0091257C" w:rsidRDefault="0091257C" w:rsidP="0091257C">
      <w:pPr>
        <w:rPr>
          <w:color w:val="000000"/>
          <w:sz w:val="20"/>
          <w:szCs w:val="20"/>
        </w:rPr>
      </w:pPr>
    </w:p>
    <w:tbl>
      <w:tblPr>
        <w:tblStyle w:val="TableGrid"/>
        <w:tblW w:w="0" w:type="auto"/>
        <w:tblLook w:val="04A0" w:firstRow="1" w:lastRow="0" w:firstColumn="1" w:lastColumn="0" w:noHBand="0" w:noVBand="1"/>
      </w:tblPr>
      <w:tblGrid>
        <w:gridCol w:w="9493"/>
      </w:tblGrid>
      <w:tr w:rsidR="0091257C" w14:paraId="2E2CB5F5" w14:textId="77777777" w:rsidTr="0091257C">
        <w:tc>
          <w:tcPr>
            <w:tcW w:w="9493" w:type="dxa"/>
          </w:tcPr>
          <w:p w14:paraId="7BA294C4" w14:textId="27AE8364" w:rsidR="0091257C" w:rsidRPr="0091257C" w:rsidRDefault="0091257C" w:rsidP="0091257C">
            <w:pPr>
              <w:widowControl/>
              <w:spacing w:after="120"/>
              <w:rPr>
                <w:color w:val="000000"/>
                <w:sz w:val="20"/>
                <w:szCs w:val="20"/>
                <w:lang w:val="en-GB"/>
              </w:rPr>
            </w:pPr>
            <w:r w:rsidRPr="0017322C">
              <w:rPr>
                <w:color w:val="000000"/>
                <w:sz w:val="20"/>
                <w:szCs w:val="20"/>
                <w:lang w:val="en-GB"/>
              </w:rPr>
              <w:t>R1-2409045</w:t>
            </w:r>
          </w:p>
          <w:p w14:paraId="591D7CA0" w14:textId="1450D25A" w:rsidR="0091257C" w:rsidRPr="00771388" w:rsidRDefault="0091257C" w:rsidP="0075527B">
            <w:pPr>
              <w:rPr>
                <w:rFonts w:eastAsia="Yu Mincho"/>
                <w:b/>
                <w:bCs/>
                <w:iCs/>
                <w:sz w:val="16"/>
                <w:szCs w:val="18"/>
                <w:lang w:eastAsia="ja-JP"/>
              </w:rPr>
            </w:pPr>
            <w:r w:rsidRPr="00771388">
              <w:rPr>
                <w:rFonts w:eastAsia="Yu Mincho" w:hint="eastAsia"/>
                <w:b/>
                <w:bCs/>
                <w:iCs/>
                <w:sz w:val="16"/>
                <w:szCs w:val="18"/>
                <w:highlight w:val="green"/>
                <w:lang w:eastAsia="ja-JP"/>
              </w:rPr>
              <w:t>Agreement:</w:t>
            </w:r>
          </w:p>
          <w:p w14:paraId="5B42F159" w14:textId="77777777" w:rsidR="0091257C" w:rsidRPr="00771388" w:rsidRDefault="0091257C" w:rsidP="0091257C">
            <w:pPr>
              <w:widowControl/>
              <w:numPr>
                <w:ilvl w:val="0"/>
                <w:numId w:val="50"/>
              </w:numPr>
              <w:spacing w:before="60" w:after="120" w:line="256" w:lineRule="auto"/>
              <w:rPr>
                <w:rFonts w:eastAsia="Yu Mincho"/>
                <w:b/>
                <w:bCs/>
                <w:sz w:val="16"/>
                <w:szCs w:val="18"/>
                <w:lang w:eastAsia="ja-JP"/>
              </w:rPr>
            </w:pPr>
            <w:r w:rsidRPr="00771388">
              <w:rPr>
                <w:rFonts w:eastAsia="Yu Mincho"/>
                <w:b/>
                <w:bCs/>
                <w:sz w:val="16"/>
                <w:szCs w:val="18"/>
                <w:lang w:eastAsia="ja-JP"/>
              </w:rPr>
              <w:t xml:space="preserve">Send a </w:t>
            </w:r>
            <w:proofErr w:type="gramStart"/>
            <w:r w:rsidRPr="00771388">
              <w:rPr>
                <w:rFonts w:eastAsia="Yu Mincho"/>
                <w:b/>
                <w:bCs/>
                <w:sz w:val="16"/>
                <w:szCs w:val="18"/>
                <w:lang w:eastAsia="ja-JP"/>
              </w:rPr>
              <w:t>reply</w:t>
            </w:r>
            <w:proofErr w:type="gramEnd"/>
            <w:r w:rsidRPr="00771388">
              <w:rPr>
                <w:rFonts w:eastAsia="Yu Mincho"/>
                <w:b/>
                <w:bCs/>
                <w:sz w:val="16"/>
                <w:szCs w:val="18"/>
                <w:lang w:eastAsia="ja-JP"/>
              </w:rPr>
              <w:t xml:space="preserve"> LS to RAN2 to inform the </w:t>
            </w:r>
            <w:r w:rsidRPr="00771388">
              <w:rPr>
                <w:rFonts w:eastAsia="Yu Mincho" w:hint="eastAsia"/>
                <w:b/>
                <w:bCs/>
                <w:sz w:val="16"/>
                <w:szCs w:val="18"/>
                <w:lang w:eastAsia="ja-JP"/>
              </w:rPr>
              <w:t>following RAN1</w:t>
            </w:r>
            <w:r w:rsidRPr="00771388">
              <w:rPr>
                <w:rFonts w:eastAsia="Yu Mincho"/>
                <w:b/>
                <w:bCs/>
                <w:sz w:val="16"/>
                <w:szCs w:val="18"/>
                <w:lang w:eastAsia="ja-JP"/>
              </w:rPr>
              <w:t>’</w:t>
            </w:r>
            <w:r w:rsidRPr="00771388">
              <w:rPr>
                <w:rFonts w:eastAsia="Yu Mincho" w:hint="eastAsia"/>
                <w:b/>
                <w:bCs/>
                <w:sz w:val="16"/>
                <w:szCs w:val="18"/>
                <w:lang w:eastAsia="ja-JP"/>
              </w:rPr>
              <w:t>s understanding</w:t>
            </w:r>
            <w:r w:rsidRPr="00771388">
              <w:rPr>
                <w:rFonts w:eastAsia="Yu Mincho"/>
                <w:b/>
                <w:bCs/>
                <w:sz w:val="16"/>
                <w:szCs w:val="18"/>
                <w:lang w:eastAsia="ja-JP"/>
              </w:rPr>
              <w:t>.</w:t>
            </w:r>
          </w:p>
          <w:p w14:paraId="3231BA66" w14:textId="77777777" w:rsidR="0091257C" w:rsidRPr="00771388" w:rsidRDefault="0091257C" w:rsidP="0091257C">
            <w:pPr>
              <w:widowControl/>
              <w:numPr>
                <w:ilvl w:val="1"/>
                <w:numId w:val="50"/>
              </w:numPr>
              <w:spacing w:before="60" w:after="120" w:line="256" w:lineRule="auto"/>
              <w:rPr>
                <w:rFonts w:eastAsia="Yu Mincho"/>
                <w:b/>
                <w:bCs/>
                <w:sz w:val="16"/>
                <w:szCs w:val="18"/>
                <w:lang w:eastAsia="ja-JP"/>
              </w:rPr>
            </w:pPr>
            <w:r w:rsidRPr="00771388">
              <w:rPr>
                <w:rFonts w:eastAsia="Yu Mincho"/>
                <w:b/>
                <w:bCs/>
                <w:sz w:val="16"/>
                <w:szCs w:val="18"/>
                <w:lang w:eastAsia="ja-JP"/>
              </w:rPr>
              <w:t xml:space="preserve">FG45-3a/4a, 45-5/5a/6 </w:t>
            </w:r>
            <w:r w:rsidRPr="00771388">
              <w:rPr>
                <w:rFonts w:eastAsia="Yu Mincho" w:hint="eastAsia"/>
                <w:b/>
                <w:bCs/>
                <w:sz w:val="16"/>
                <w:szCs w:val="18"/>
                <w:lang w:eastAsia="ja-JP"/>
              </w:rPr>
              <w:t>do not need to be</w:t>
            </w:r>
            <w:r w:rsidRPr="00771388">
              <w:rPr>
                <w:rFonts w:eastAsia="Yu Mincho"/>
                <w:b/>
                <w:bCs/>
                <w:sz w:val="16"/>
                <w:szCs w:val="18"/>
                <w:lang w:eastAsia="ja-JP"/>
              </w:rPr>
              <w:t xml:space="preserve"> indicated separately for intra and inter-frequency LTM cell switch</w:t>
            </w:r>
            <w:r w:rsidRPr="00771388">
              <w:rPr>
                <w:rFonts w:eastAsia="Yu Mincho" w:hint="eastAsia"/>
                <w:b/>
                <w:bCs/>
                <w:sz w:val="16"/>
                <w:szCs w:val="18"/>
                <w:lang w:eastAsia="ja-JP"/>
              </w:rPr>
              <w:t>.</w:t>
            </w:r>
          </w:p>
          <w:p w14:paraId="38C8B771" w14:textId="77777777" w:rsidR="0091257C" w:rsidRPr="00771388" w:rsidRDefault="0091257C" w:rsidP="0091257C">
            <w:pPr>
              <w:widowControl/>
              <w:numPr>
                <w:ilvl w:val="1"/>
                <w:numId w:val="50"/>
              </w:numPr>
              <w:spacing w:before="60" w:after="120" w:line="256" w:lineRule="auto"/>
              <w:rPr>
                <w:rFonts w:eastAsia="Yu Mincho"/>
                <w:b/>
                <w:bCs/>
                <w:sz w:val="16"/>
                <w:szCs w:val="18"/>
                <w:lang w:eastAsia="ja-JP"/>
              </w:rPr>
            </w:pPr>
            <w:r w:rsidRPr="00771388">
              <w:rPr>
                <w:rFonts w:eastAsia="Yu Mincho" w:hint="eastAsia"/>
                <w:b/>
                <w:bCs/>
                <w:sz w:val="16"/>
                <w:szCs w:val="18"/>
                <w:highlight w:val="cyan"/>
                <w:lang w:eastAsia="ja-JP"/>
              </w:rPr>
              <w:t xml:space="preserve">If UE supports </w:t>
            </w:r>
            <w:r w:rsidRPr="00771388">
              <w:rPr>
                <w:rFonts w:eastAsia="Yu Mincho"/>
                <w:b/>
                <w:bCs/>
                <w:i/>
                <w:iCs/>
                <w:sz w:val="16"/>
                <w:szCs w:val="18"/>
                <w:highlight w:val="cyan"/>
                <w:lang w:eastAsia="ja-JP"/>
              </w:rPr>
              <w:t>ltm-InterFreq-r18</w:t>
            </w:r>
            <w:r w:rsidRPr="00771388">
              <w:rPr>
                <w:rFonts w:eastAsia="Yu Mincho"/>
                <w:b/>
                <w:bCs/>
                <w:sz w:val="16"/>
                <w:szCs w:val="18"/>
                <w:highlight w:val="cyan"/>
                <w:lang w:eastAsia="ja-JP"/>
              </w:rPr>
              <w:t xml:space="preserve">, </w:t>
            </w:r>
            <w:r w:rsidRPr="00771388">
              <w:rPr>
                <w:rFonts w:eastAsia="Yu Mincho" w:hint="eastAsia"/>
                <w:b/>
                <w:bCs/>
                <w:sz w:val="16"/>
                <w:szCs w:val="18"/>
                <w:highlight w:val="cyan"/>
                <w:lang w:eastAsia="ja-JP"/>
              </w:rPr>
              <w:t xml:space="preserve">the support of above FGs </w:t>
            </w:r>
            <w:r w:rsidRPr="00771388">
              <w:rPr>
                <w:rFonts w:eastAsia="Yu Mincho"/>
                <w:b/>
                <w:bCs/>
                <w:sz w:val="16"/>
                <w:szCs w:val="18"/>
                <w:highlight w:val="cyan"/>
                <w:lang w:eastAsia="ja-JP"/>
              </w:rPr>
              <w:t>impl</w:t>
            </w:r>
            <w:r w:rsidRPr="00771388">
              <w:rPr>
                <w:rFonts w:eastAsia="Yu Mincho" w:hint="eastAsia"/>
                <w:b/>
                <w:bCs/>
                <w:sz w:val="16"/>
                <w:szCs w:val="18"/>
                <w:highlight w:val="cyan"/>
                <w:lang w:eastAsia="ja-JP"/>
              </w:rPr>
              <w:t>ies</w:t>
            </w:r>
            <w:r w:rsidRPr="00771388">
              <w:rPr>
                <w:rFonts w:eastAsia="Yu Mincho"/>
                <w:b/>
                <w:bCs/>
                <w:sz w:val="16"/>
                <w:szCs w:val="18"/>
                <w:highlight w:val="cyan"/>
                <w:lang w:eastAsia="ja-JP"/>
              </w:rPr>
              <w:t xml:space="preserve"> the support for inter-frequency scenarios</w:t>
            </w:r>
            <w:r w:rsidRPr="00771388">
              <w:rPr>
                <w:rFonts w:eastAsia="Yu Mincho" w:hint="eastAsia"/>
                <w:b/>
                <w:bCs/>
                <w:sz w:val="16"/>
                <w:szCs w:val="18"/>
                <w:highlight w:val="cyan"/>
                <w:lang w:eastAsia="ja-JP"/>
              </w:rPr>
              <w:t xml:space="preserve"> in addition to intra-frequency scenarios</w:t>
            </w:r>
            <w:r w:rsidRPr="00771388">
              <w:rPr>
                <w:rFonts w:eastAsia="Yu Mincho" w:hint="eastAsia"/>
                <w:b/>
                <w:bCs/>
                <w:sz w:val="16"/>
                <w:szCs w:val="18"/>
                <w:lang w:eastAsia="ja-JP"/>
              </w:rPr>
              <w:t xml:space="preserve">. </w:t>
            </w:r>
            <w:r w:rsidRPr="00771388">
              <w:rPr>
                <w:rFonts w:eastAsia="Yu Mincho" w:hint="eastAsia"/>
                <w:b/>
                <w:bCs/>
                <w:sz w:val="16"/>
                <w:szCs w:val="18"/>
                <w:highlight w:val="yellow"/>
                <w:lang w:eastAsia="ja-JP"/>
              </w:rPr>
              <w:t xml:space="preserve">If UE only supports </w:t>
            </w:r>
            <w:r w:rsidRPr="00771388">
              <w:rPr>
                <w:rFonts w:eastAsia="Yu Mincho"/>
                <w:b/>
                <w:bCs/>
                <w:i/>
                <w:iCs/>
                <w:sz w:val="16"/>
                <w:szCs w:val="18"/>
                <w:highlight w:val="yellow"/>
                <w:lang w:eastAsia="ja-JP"/>
              </w:rPr>
              <w:t xml:space="preserve">ltm-MCG-IntraFreq-r18 </w:t>
            </w:r>
            <w:r w:rsidRPr="00771388">
              <w:rPr>
                <w:rFonts w:eastAsia="Yu Mincho"/>
                <w:b/>
                <w:bCs/>
                <w:sz w:val="16"/>
                <w:szCs w:val="18"/>
                <w:highlight w:val="yellow"/>
                <w:lang w:eastAsia="ja-JP"/>
              </w:rPr>
              <w:t>or</w:t>
            </w:r>
            <w:r w:rsidRPr="00771388">
              <w:rPr>
                <w:rFonts w:eastAsia="Yu Mincho"/>
                <w:b/>
                <w:bCs/>
                <w:i/>
                <w:iCs/>
                <w:sz w:val="16"/>
                <w:szCs w:val="18"/>
                <w:highlight w:val="yellow"/>
                <w:lang w:eastAsia="ja-JP"/>
              </w:rPr>
              <w:t xml:space="preserve"> ltm-</w:t>
            </w:r>
            <w:r w:rsidRPr="00771388">
              <w:rPr>
                <w:rFonts w:eastAsia="Yu Mincho" w:hint="eastAsia"/>
                <w:b/>
                <w:bCs/>
                <w:i/>
                <w:iCs/>
                <w:sz w:val="16"/>
                <w:szCs w:val="18"/>
                <w:highlight w:val="yellow"/>
                <w:lang w:eastAsia="ja-JP"/>
              </w:rPr>
              <w:t>S</w:t>
            </w:r>
            <w:r w:rsidRPr="00771388">
              <w:rPr>
                <w:rFonts w:eastAsia="Yu Mincho"/>
                <w:b/>
                <w:bCs/>
                <w:i/>
                <w:iCs/>
                <w:sz w:val="16"/>
                <w:szCs w:val="18"/>
                <w:highlight w:val="yellow"/>
                <w:lang w:eastAsia="ja-JP"/>
              </w:rPr>
              <w:t>CG-IntraFreq-r18</w:t>
            </w:r>
            <w:r w:rsidRPr="00771388">
              <w:rPr>
                <w:rFonts w:eastAsia="Yu Mincho" w:hint="eastAsia"/>
                <w:b/>
                <w:bCs/>
                <w:i/>
                <w:iCs/>
                <w:sz w:val="16"/>
                <w:szCs w:val="18"/>
                <w:highlight w:val="yellow"/>
                <w:lang w:eastAsia="ja-JP"/>
              </w:rPr>
              <w:t xml:space="preserve">, </w:t>
            </w:r>
            <w:r w:rsidRPr="00771388">
              <w:rPr>
                <w:rFonts w:eastAsia="Yu Mincho" w:hint="eastAsia"/>
                <w:b/>
                <w:bCs/>
                <w:sz w:val="16"/>
                <w:szCs w:val="18"/>
                <w:highlight w:val="yellow"/>
                <w:lang w:eastAsia="ja-JP"/>
              </w:rPr>
              <w:t>the support of above FGs implies the support for intra-frequency scenarios</w:t>
            </w:r>
            <w:r w:rsidRPr="00771388">
              <w:rPr>
                <w:rFonts w:eastAsia="Yu Mincho" w:hint="eastAsia"/>
                <w:b/>
                <w:bCs/>
                <w:sz w:val="16"/>
                <w:szCs w:val="18"/>
                <w:lang w:eastAsia="ja-JP"/>
              </w:rPr>
              <w:t>.</w:t>
            </w:r>
          </w:p>
          <w:p w14:paraId="07324278" w14:textId="77777777" w:rsidR="0091257C" w:rsidRPr="00D23903" w:rsidRDefault="0091257C" w:rsidP="0091257C">
            <w:pPr>
              <w:widowControl/>
              <w:numPr>
                <w:ilvl w:val="2"/>
                <w:numId w:val="50"/>
              </w:numPr>
              <w:spacing w:before="60" w:after="120" w:line="256" w:lineRule="auto"/>
              <w:rPr>
                <w:rFonts w:eastAsia="Yu Mincho"/>
                <w:b/>
                <w:bCs/>
                <w:lang w:eastAsia="ja-JP"/>
              </w:rPr>
            </w:pPr>
            <w:r w:rsidRPr="00771388">
              <w:rPr>
                <w:rFonts w:eastAsia="Yu Mincho"/>
                <w:b/>
                <w:bCs/>
                <w:sz w:val="16"/>
                <w:szCs w:val="18"/>
                <w:lang w:eastAsia="ja-JP"/>
              </w:rPr>
              <w:t>S</w:t>
            </w:r>
            <w:r w:rsidRPr="00771388">
              <w:rPr>
                <w:rFonts w:eastAsia="Yu Mincho" w:hint="eastAsia"/>
                <w:b/>
                <w:bCs/>
                <w:sz w:val="16"/>
                <w:szCs w:val="18"/>
                <w:lang w:eastAsia="ja-JP"/>
              </w:rPr>
              <w:t>ame understanding is applicable to FG45-3/4 as well</w:t>
            </w:r>
          </w:p>
        </w:tc>
      </w:tr>
    </w:tbl>
    <w:p w14:paraId="41D57AAF" w14:textId="77777777" w:rsidR="0091257C" w:rsidRDefault="0091257C" w:rsidP="0091257C">
      <w:pPr>
        <w:rPr>
          <w:color w:val="000000"/>
          <w:sz w:val="20"/>
          <w:szCs w:val="20"/>
        </w:rPr>
      </w:pPr>
    </w:p>
    <w:tbl>
      <w:tblPr>
        <w:tblStyle w:val="TableGrid"/>
        <w:tblW w:w="0" w:type="auto"/>
        <w:tblLook w:val="04A0" w:firstRow="1" w:lastRow="0" w:firstColumn="1" w:lastColumn="0" w:noHBand="0" w:noVBand="1"/>
      </w:tblPr>
      <w:tblGrid>
        <w:gridCol w:w="9629"/>
      </w:tblGrid>
      <w:tr w:rsidR="00556DB2" w14:paraId="165BDA6E" w14:textId="77777777" w:rsidTr="00556DB2">
        <w:tc>
          <w:tcPr>
            <w:tcW w:w="9629" w:type="dxa"/>
          </w:tcPr>
          <w:p w14:paraId="1512496B" w14:textId="77777777" w:rsidR="00556DB2" w:rsidRDefault="00556DB2" w:rsidP="00556DB2">
            <w:pPr>
              <w:widowControl/>
              <w:spacing w:after="120"/>
              <w:rPr>
                <w:color w:val="000000"/>
                <w:sz w:val="20"/>
                <w:szCs w:val="20"/>
                <w:lang w:val="en-GB"/>
              </w:rPr>
            </w:pPr>
            <w:r>
              <w:rPr>
                <w:rFonts w:hint="eastAsia"/>
                <w:color w:val="000000"/>
                <w:sz w:val="20"/>
                <w:szCs w:val="20"/>
                <w:lang w:val="en-GB"/>
              </w:rPr>
              <w:t>F</w:t>
            </w:r>
            <w:r>
              <w:rPr>
                <w:color w:val="000000"/>
                <w:sz w:val="20"/>
                <w:szCs w:val="20"/>
                <w:lang w:val="en-GB"/>
              </w:rPr>
              <w:t>or information:</w:t>
            </w: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013"/>
            </w:tblGrid>
            <w:tr w:rsidR="00556DB2" w:rsidRPr="00831D8A" w14:paraId="6F248C38" w14:textId="77777777" w:rsidTr="0075527B">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79974A09" w14:textId="77777777" w:rsidR="00556DB2" w:rsidRPr="00556DB2" w:rsidRDefault="00556DB2" w:rsidP="00556DB2">
                  <w:pPr>
                    <w:pStyle w:val="TAL"/>
                    <w:rPr>
                      <w:rFonts w:eastAsia="MS Mincho" w:cs="Arial"/>
                      <w:color w:val="000000" w:themeColor="text1"/>
                      <w:sz w:val="16"/>
                      <w:szCs w:val="16"/>
                      <w:lang w:eastAsia="ja-JP"/>
                    </w:rPr>
                  </w:pPr>
                  <w:r w:rsidRPr="00556DB2">
                    <w:rPr>
                      <w:rFonts w:eastAsia="MS Mincho" w:cs="Arial"/>
                      <w:color w:val="000000" w:themeColor="text1"/>
                      <w:sz w:val="16"/>
                      <w:szCs w:val="16"/>
                      <w:lang w:eastAsia="ja-JP"/>
                    </w:rPr>
                    <w:t>45-3a</w:t>
                  </w:r>
                </w:p>
              </w:tc>
              <w:tc>
                <w:tcPr>
                  <w:tcW w:w="7013" w:type="dxa"/>
                  <w:tcBorders>
                    <w:top w:val="single" w:sz="4" w:space="0" w:color="auto"/>
                    <w:left w:val="single" w:sz="4" w:space="0" w:color="auto"/>
                    <w:bottom w:val="single" w:sz="4" w:space="0" w:color="auto"/>
                    <w:right w:val="single" w:sz="4" w:space="0" w:color="auto"/>
                  </w:tcBorders>
                  <w:shd w:val="clear" w:color="auto" w:fill="auto"/>
                </w:tcPr>
                <w:p w14:paraId="3C003601" w14:textId="77777777" w:rsidR="00556DB2" w:rsidRPr="00556DB2" w:rsidRDefault="00556DB2" w:rsidP="00556DB2">
                  <w:pPr>
                    <w:pStyle w:val="TAL"/>
                    <w:rPr>
                      <w:rFonts w:eastAsia="宋体" w:cs="Arial"/>
                      <w:color w:val="000000" w:themeColor="text1"/>
                      <w:sz w:val="16"/>
                      <w:szCs w:val="16"/>
                    </w:rPr>
                  </w:pPr>
                  <w:r w:rsidRPr="00556DB2">
                    <w:rPr>
                      <w:rFonts w:cs="Arial"/>
                      <w:color w:val="000000" w:themeColor="text1"/>
                      <w:sz w:val="16"/>
                      <w:szCs w:val="16"/>
                    </w:rPr>
                    <w:t>MAC-CE activated joint LTM TCI states</w:t>
                  </w:r>
                </w:p>
              </w:tc>
            </w:tr>
            <w:tr w:rsidR="00556DB2" w:rsidRPr="00831D8A" w14:paraId="5AD381B1" w14:textId="77777777" w:rsidTr="0075527B">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8242199" w14:textId="77777777" w:rsidR="00556DB2" w:rsidRPr="00556DB2" w:rsidRDefault="00556DB2" w:rsidP="00556DB2">
                  <w:pPr>
                    <w:pStyle w:val="TAL"/>
                    <w:rPr>
                      <w:rFonts w:eastAsia="MS Mincho" w:cs="Arial"/>
                      <w:color w:val="000000" w:themeColor="text1"/>
                      <w:sz w:val="16"/>
                      <w:szCs w:val="16"/>
                      <w:lang w:eastAsia="ja-JP"/>
                    </w:rPr>
                  </w:pPr>
                  <w:r w:rsidRPr="00556DB2">
                    <w:rPr>
                      <w:rFonts w:eastAsia="MS Mincho" w:cs="Arial"/>
                      <w:color w:val="000000" w:themeColor="text1"/>
                      <w:sz w:val="16"/>
                      <w:szCs w:val="16"/>
                      <w:lang w:eastAsia="ja-JP"/>
                    </w:rPr>
                    <w:t>45-4</w:t>
                  </w:r>
                </w:p>
              </w:tc>
              <w:tc>
                <w:tcPr>
                  <w:tcW w:w="7013" w:type="dxa"/>
                  <w:tcBorders>
                    <w:top w:val="single" w:sz="4" w:space="0" w:color="auto"/>
                    <w:left w:val="single" w:sz="4" w:space="0" w:color="auto"/>
                    <w:bottom w:val="single" w:sz="4" w:space="0" w:color="auto"/>
                    <w:right w:val="single" w:sz="4" w:space="0" w:color="auto"/>
                  </w:tcBorders>
                  <w:shd w:val="clear" w:color="auto" w:fill="auto"/>
                </w:tcPr>
                <w:p w14:paraId="4D29E218" w14:textId="77777777" w:rsidR="00556DB2" w:rsidRPr="00556DB2" w:rsidRDefault="00556DB2" w:rsidP="00556DB2">
                  <w:pPr>
                    <w:pStyle w:val="TAL"/>
                    <w:rPr>
                      <w:rFonts w:eastAsia="宋体" w:cs="Arial"/>
                      <w:color w:val="000000" w:themeColor="text1"/>
                      <w:sz w:val="16"/>
                      <w:szCs w:val="16"/>
                    </w:rPr>
                  </w:pPr>
                  <w:r w:rsidRPr="00556DB2">
                    <w:rPr>
                      <w:rFonts w:eastAsia="宋体" w:cs="Arial"/>
                      <w:color w:val="000000" w:themeColor="text1"/>
                      <w:sz w:val="16"/>
                      <w:szCs w:val="16"/>
                    </w:rPr>
                    <w:t>Beam indication with separate DL/UL LTM TCI states</w:t>
                  </w:r>
                </w:p>
              </w:tc>
            </w:tr>
            <w:tr w:rsidR="00556DB2" w:rsidRPr="00831D8A" w14:paraId="11C244FF" w14:textId="77777777" w:rsidTr="0075527B">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7F234E5F" w14:textId="77777777" w:rsidR="00556DB2" w:rsidRPr="00556DB2" w:rsidRDefault="00556DB2" w:rsidP="00556DB2">
                  <w:pPr>
                    <w:pStyle w:val="TAL"/>
                    <w:rPr>
                      <w:rFonts w:eastAsia="MS Mincho" w:cs="Arial"/>
                      <w:color w:val="000000" w:themeColor="text1"/>
                      <w:sz w:val="16"/>
                      <w:szCs w:val="16"/>
                      <w:lang w:eastAsia="ja-JP"/>
                    </w:rPr>
                  </w:pPr>
                  <w:r w:rsidRPr="00556DB2">
                    <w:rPr>
                      <w:rFonts w:eastAsia="MS Mincho" w:cs="Arial"/>
                      <w:color w:val="000000" w:themeColor="text1"/>
                      <w:sz w:val="16"/>
                      <w:szCs w:val="16"/>
                      <w:lang w:eastAsia="ja-JP"/>
                    </w:rPr>
                    <w:t>45-4a</w:t>
                  </w:r>
                </w:p>
              </w:tc>
              <w:tc>
                <w:tcPr>
                  <w:tcW w:w="7013" w:type="dxa"/>
                  <w:tcBorders>
                    <w:top w:val="single" w:sz="4" w:space="0" w:color="auto"/>
                    <w:left w:val="single" w:sz="4" w:space="0" w:color="auto"/>
                    <w:bottom w:val="single" w:sz="4" w:space="0" w:color="auto"/>
                    <w:right w:val="single" w:sz="4" w:space="0" w:color="auto"/>
                  </w:tcBorders>
                  <w:shd w:val="clear" w:color="auto" w:fill="auto"/>
                </w:tcPr>
                <w:p w14:paraId="08828202" w14:textId="77777777" w:rsidR="00556DB2" w:rsidRPr="00556DB2" w:rsidRDefault="00556DB2" w:rsidP="00556DB2">
                  <w:pPr>
                    <w:pStyle w:val="TAL"/>
                    <w:rPr>
                      <w:rFonts w:eastAsia="宋体" w:cs="Arial"/>
                      <w:color w:val="000000" w:themeColor="text1"/>
                      <w:sz w:val="16"/>
                      <w:szCs w:val="16"/>
                    </w:rPr>
                  </w:pPr>
                  <w:r w:rsidRPr="00556DB2">
                    <w:rPr>
                      <w:rFonts w:eastAsia="宋体" w:cs="Arial"/>
                      <w:color w:val="000000" w:themeColor="text1"/>
                      <w:sz w:val="16"/>
                      <w:szCs w:val="16"/>
                    </w:rPr>
                    <w:t>MAC-CE activated DL/UL LTM TCI states</w:t>
                  </w:r>
                </w:p>
              </w:tc>
            </w:tr>
            <w:tr w:rsidR="00556DB2" w:rsidRPr="00831D8A" w14:paraId="303A1BD1" w14:textId="77777777" w:rsidTr="0075527B">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4DD9BF0" w14:textId="77777777" w:rsidR="00556DB2" w:rsidRPr="00556DB2" w:rsidRDefault="00556DB2" w:rsidP="00556DB2">
                  <w:pPr>
                    <w:pStyle w:val="TAL"/>
                    <w:rPr>
                      <w:rFonts w:eastAsia="MS Mincho" w:cs="Arial"/>
                      <w:color w:val="000000" w:themeColor="text1"/>
                      <w:sz w:val="16"/>
                      <w:szCs w:val="16"/>
                      <w:lang w:eastAsia="ja-JP"/>
                    </w:rPr>
                  </w:pPr>
                  <w:r w:rsidRPr="00556DB2">
                    <w:rPr>
                      <w:rFonts w:eastAsia="MS Mincho" w:cs="Arial"/>
                      <w:color w:val="000000" w:themeColor="text1"/>
                      <w:sz w:val="16"/>
                      <w:szCs w:val="16"/>
                      <w:lang w:eastAsia="ja-JP"/>
                    </w:rPr>
                    <w:t>45-5</w:t>
                  </w:r>
                </w:p>
              </w:tc>
              <w:tc>
                <w:tcPr>
                  <w:tcW w:w="7013" w:type="dxa"/>
                  <w:tcBorders>
                    <w:top w:val="single" w:sz="4" w:space="0" w:color="auto"/>
                    <w:left w:val="single" w:sz="4" w:space="0" w:color="auto"/>
                    <w:bottom w:val="single" w:sz="4" w:space="0" w:color="auto"/>
                    <w:right w:val="single" w:sz="4" w:space="0" w:color="auto"/>
                  </w:tcBorders>
                  <w:shd w:val="clear" w:color="auto" w:fill="auto"/>
                </w:tcPr>
                <w:p w14:paraId="24B433F6" w14:textId="77777777" w:rsidR="00556DB2" w:rsidRPr="00556DB2" w:rsidRDefault="00556DB2" w:rsidP="00556DB2">
                  <w:pPr>
                    <w:pStyle w:val="TAL"/>
                    <w:rPr>
                      <w:rFonts w:eastAsia="宋体" w:cs="Arial"/>
                      <w:color w:val="000000" w:themeColor="text1"/>
                      <w:sz w:val="16"/>
                      <w:szCs w:val="16"/>
                    </w:rPr>
                  </w:pPr>
                  <w:r w:rsidRPr="00556DB2">
                    <w:rPr>
                      <w:rFonts w:eastAsia="宋体" w:cs="Arial"/>
                      <w:color w:val="000000" w:themeColor="text1"/>
                      <w:sz w:val="16"/>
                      <w:szCs w:val="16"/>
                    </w:rPr>
                    <w:t>RACH-based early TA acquisition</w:t>
                  </w:r>
                </w:p>
              </w:tc>
            </w:tr>
            <w:tr w:rsidR="00556DB2" w:rsidRPr="00831D8A" w14:paraId="1FC50D91" w14:textId="77777777" w:rsidTr="0075527B">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4049E449" w14:textId="77777777" w:rsidR="00556DB2" w:rsidRPr="00556DB2" w:rsidRDefault="00556DB2" w:rsidP="00556DB2">
                  <w:pPr>
                    <w:pStyle w:val="TAL"/>
                    <w:rPr>
                      <w:rFonts w:eastAsia="MS Mincho" w:cs="Arial"/>
                      <w:color w:val="000000" w:themeColor="text1"/>
                      <w:sz w:val="16"/>
                      <w:szCs w:val="16"/>
                      <w:lang w:eastAsia="ja-JP"/>
                    </w:rPr>
                  </w:pPr>
                  <w:r w:rsidRPr="00556DB2">
                    <w:rPr>
                      <w:rFonts w:eastAsia="MS Mincho" w:cs="Arial"/>
                      <w:color w:val="000000" w:themeColor="text1"/>
                      <w:sz w:val="16"/>
                      <w:szCs w:val="16"/>
                      <w:lang w:eastAsia="ja-JP"/>
                    </w:rPr>
                    <w:t>45-5a</w:t>
                  </w:r>
                </w:p>
              </w:tc>
              <w:tc>
                <w:tcPr>
                  <w:tcW w:w="7013" w:type="dxa"/>
                  <w:tcBorders>
                    <w:top w:val="single" w:sz="4" w:space="0" w:color="auto"/>
                    <w:left w:val="single" w:sz="4" w:space="0" w:color="auto"/>
                    <w:bottom w:val="single" w:sz="4" w:space="0" w:color="auto"/>
                    <w:right w:val="single" w:sz="4" w:space="0" w:color="auto"/>
                  </w:tcBorders>
                  <w:shd w:val="clear" w:color="auto" w:fill="auto"/>
                </w:tcPr>
                <w:p w14:paraId="6DC7A9AC" w14:textId="77777777" w:rsidR="00556DB2" w:rsidRPr="00556DB2" w:rsidRDefault="00556DB2" w:rsidP="00556DB2">
                  <w:pPr>
                    <w:pStyle w:val="TAL"/>
                    <w:rPr>
                      <w:rFonts w:eastAsia="宋体" w:cs="Arial"/>
                      <w:color w:val="000000" w:themeColor="text1"/>
                      <w:sz w:val="16"/>
                      <w:szCs w:val="16"/>
                    </w:rPr>
                  </w:pPr>
                  <w:r w:rsidRPr="00556DB2">
                    <w:rPr>
                      <w:rFonts w:eastAsia="宋体" w:cs="Arial"/>
                      <w:color w:val="000000" w:themeColor="text1"/>
                      <w:sz w:val="16"/>
                      <w:szCs w:val="16"/>
                    </w:rPr>
                    <w:t>RACH-based early TA acquisition with simultaneous transmission</w:t>
                  </w:r>
                </w:p>
              </w:tc>
            </w:tr>
            <w:tr w:rsidR="00556DB2" w:rsidRPr="00831D8A" w14:paraId="01A90E6C" w14:textId="77777777" w:rsidTr="0075527B">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5A644AC" w14:textId="77777777" w:rsidR="00556DB2" w:rsidRPr="00556DB2" w:rsidRDefault="00556DB2" w:rsidP="00556DB2">
                  <w:pPr>
                    <w:pStyle w:val="TAL"/>
                    <w:rPr>
                      <w:rFonts w:eastAsia="MS Mincho" w:cs="Arial"/>
                      <w:color w:val="000000" w:themeColor="text1"/>
                      <w:sz w:val="16"/>
                      <w:szCs w:val="16"/>
                      <w:lang w:eastAsia="ja-JP"/>
                    </w:rPr>
                  </w:pPr>
                  <w:r w:rsidRPr="00556DB2">
                    <w:rPr>
                      <w:rFonts w:eastAsia="MS Mincho" w:cs="Arial"/>
                      <w:color w:val="000000" w:themeColor="text1"/>
                      <w:sz w:val="16"/>
                      <w:szCs w:val="16"/>
                      <w:lang w:eastAsia="ja-JP"/>
                    </w:rPr>
                    <w:t>45-6</w:t>
                  </w:r>
                </w:p>
              </w:tc>
              <w:tc>
                <w:tcPr>
                  <w:tcW w:w="7013" w:type="dxa"/>
                  <w:tcBorders>
                    <w:top w:val="single" w:sz="4" w:space="0" w:color="auto"/>
                    <w:left w:val="single" w:sz="4" w:space="0" w:color="auto"/>
                    <w:bottom w:val="single" w:sz="4" w:space="0" w:color="auto"/>
                    <w:right w:val="single" w:sz="4" w:space="0" w:color="auto"/>
                  </w:tcBorders>
                  <w:shd w:val="clear" w:color="auto" w:fill="auto"/>
                </w:tcPr>
                <w:p w14:paraId="36A561E3" w14:textId="77777777" w:rsidR="00556DB2" w:rsidRPr="00556DB2" w:rsidRDefault="00556DB2" w:rsidP="00556DB2">
                  <w:pPr>
                    <w:pStyle w:val="TAL"/>
                    <w:rPr>
                      <w:rFonts w:eastAsia="宋体" w:cs="Arial"/>
                      <w:color w:val="000000" w:themeColor="text1"/>
                      <w:sz w:val="16"/>
                      <w:szCs w:val="16"/>
                    </w:rPr>
                  </w:pPr>
                  <w:r w:rsidRPr="00556DB2">
                    <w:rPr>
                      <w:rFonts w:cs="Arial"/>
                      <w:color w:val="000000" w:themeColor="text1"/>
                      <w:sz w:val="16"/>
                      <w:szCs w:val="16"/>
                    </w:rPr>
                    <w:t>UE-based TA measurement</w:t>
                  </w:r>
                </w:p>
              </w:tc>
            </w:tr>
            <w:tr w:rsidR="00556DB2" w:rsidRPr="00831D8A" w14:paraId="6DD3DCB6" w14:textId="77777777" w:rsidTr="0075527B">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4D9AE740" w14:textId="77777777" w:rsidR="00556DB2" w:rsidRPr="00556DB2" w:rsidRDefault="00556DB2" w:rsidP="00556DB2">
                  <w:pPr>
                    <w:pStyle w:val="TAL"/>
                    <w:rPr>
                      <w:rFonts w:eastAsia="MS Mincho" w:cs="Arial"/>
                      <w:color w:val="000000" w:themeColor="text1"/>
                      <w:sz w:val="16"/>
                      <w:szCs w:val="16"/>
                      <w:lang w:eastAsia="ja-JP"/>
                    </w:rPr>
                  </w:pPr>
                  <w:r w:rsidRPr="00556DB2">
                    <w:rPr>
                      <w:rFonts w:eastAsia="MS Mincho" w:cs="Arial"/>
                      <w:color w:val="000000" w:themeColor="text1"/>
                      <w:sz w:val="16"/>
                      <w:szCs w:val="16"/>
                      <w:lang w:eastAsia="ja-JP"/>
                    </w:rPr>
                    <w:t>45-7</w:t>
                  </w:r>
                </w:p>
              </w:tc>
              <w:tc>
                <w:tcPr>
                  <w:tcW w:w="7013" w:type="dxa"/>
                  <w:tcBorders>
                    <w:top w:val="single" w:sz="4" w:space="0" w:color="auto"/>
                    <w:left w:val="single" w:sz="4" w:space="0" w:color="auto"/>
                    <w:bottom w:val="single" w:sz="4" w:space="0" w:color="auto"/>
                    <w:right w:val="single" w:sz="4" w:space="0" w:color="auto"/>
                  </w:tcBorders>
                  <w:shd w:val="clear" w:color="auto" w:fill="auto"/>
                </w:tcPr>
                <w:p w14:paraId="4AA66DEC" w14:textId="77777777" w:rsidR="00556DB2" w:rsidRPr="00556DB2" w:rsidRDefault="00556DB2" w:rsidP="00556DB2">
                  <w:pPr>
                    <w:pStyle w:val="TAL"/>
                    <w:rPr>
                      <w:rFonts w:eastAsia="宋体" w:cs="Arial"/>
                      <w:color w:val="000000" w:themeColor="text1"/>
                      <w:sz w:val="16"/>
                      <w:szCs w:val="16"/>
                    </w:rPr>
                  </w:pPr>
                  <w:r w:rsidRPr="00556DB2">
                    <w:rPr>
                      <w:rFonts w:cs="Arial"/>
                      <w:color w:val="000000" w:themeColor="text1"/>
                      <w:sz w:val="16"/>
                      <w:szCs w:val="16"/>
                    </w:rPr>
                    <w:t>TA indication in cell switch command</w:t>
                  </w:r>
                </w:p>
              </w:tc>
            </w:tr>
          </w:tbl>
          <w:p w14:paraId="13CF64D4" w14:textId="77777777" w:rsidR="00556DB2" w:rsidRDefault="00556DB2" w:rsidP="0091257C">
            <w:pPr>
              <w:rPr>
                <w:color w:val="000000"/>
                <w:sz w:val="20"/>
                <w:szCs w:val="20"/>
              </w:rPr>
            </w:pPr>
          </w:p>
        </w:tc>
      </w:tr>
    </w:tbl>
    <w:p w14:paraId="7B980071" w14:textId="77777777" w:rsidR="00556DB2" w:rsidRPr="0091257C" w:rsidRDefault="00556DB2" w:rsidP="0091257C">
      <w:pPr>
        <w:rPr>
          <w:color w:val="000000"/>
          <w:sz w:val="20"/>
          <w:szCs w:val="20"/>
        </w:rPr>
      </w:pPr>
    </w:p>
    <w:p w14:paraId="16CD7135" w14:textId="28FA57B9" w:rsidR="00684060" w:rsidRDefault="0028617E" w:rsidP="001E3C69">
      <w:pPr>
        <w:widowControl/>
        <w:spacing w:after="120"/>
        <w:rPr>
          <w:color w:val="000000"/>
          <w:sz w:val="20"/>
          <w:szCs w:val="20"/>
          <w:lang w:val="en-GB"/>
        </w:rPr>
      </w:pPr>
      <w:r>
        <w:rPr>
          <w:rFonts w:hint="eastAsia"/>
          <w:color w:val="000000"/>
          <w:sz w:val="20"/>
          <w:szCs w:val="20"/>
        </w:rPr>
        <w:t>A</w:t>
      </w:r>
      <w:r>
        <w:rPr>
          <w:color w:val="000000"/>
          <w:sz w:val="20"/>
          <w:szCs w:val="20"/>
        </w:rPr>
        <w:t xml:space="preserve">ccording to RAN1 </w:t>
      </w:r>
      <w:proofErr w:type="gramStart"/>
      <w:r>
        <w:rPr>
          <w:color w:val="000000"/>
          <w:sz w:val="20"/>
          <w:szCs w:val="20"/>
        </w:rPr>
        <w:t>reply</w:t>
      </w:r>
      <w:proofErr w:type="gramEnd"/>
      <w:r>
        <w:rPr>
          <w:color w:val="000000"/>
          <w:sz w:val="20"/>
          <w:szCs w:val="20"/>
        </w:rPr>
        <w:t xml:space="preserve"> LS, early TCI state activation (45-3a/45-4a) on inter-frequency candidate cells is only supported when UE supports </w:t>
      </w:r>
      <w:r w:rsidRPr="0028617E">
        <w:rPr>
          <w:color w:val="000000"/>
          <w:sz w:val="20"/>
          <w:szCs w:val="20"/>
        </w:rPr>
        <w:t>ltm-InterFreq-r18</w:t>
      </w:r>
      <w:r>
        <w:rPr>
          <w:color w:val="000000"/>
          <w:sz w:val="20"/>
          <w:szCs w:val="20"/>
        </w:rPr>
        <w:t>. If to add some condition, we</w:t>
      </w:r>
      <w:r w:rsidR="00766A73">
        <w:rPr>
          <w:color w:val="000000"/>
          <w:sz w:val="20"/>
          <w:szCs w:val="20"/>
        </w:rPr>
        <w:t xml:space="preserve"> can live with</w:t>
      </w:r>
      <w:r>
        <w:rPr>
          <w:color w:val="000000"/>
          <w:sz w:val="20"/>
          <w:szCs w:val="20"/>
        </w:rPr>
        <w:t xml:space="preserve"> add</w:t>
      </w:r>
      <w:r w:rsidR="00766A73">
        <w:rPr>
          <w:color w:val="000000"/>
          <w:sz w:val="20"/>
          <w:szCs w:val="20"/>
        </w:rPr>
        <w:t>ing</w:t>
      </w:r>
      <w:r>
        <w:rPr>
          <w:color w:val="000000"/>
          <w:sz w:val="20"/>
          <w:szCs w:val="20"/>
        </w:rPr>
        <w:t xml:space="preserve"> </w:t>
      </w:r>
      <w:r w:rsidR="00766A73">
        <w:rPr>
          <w:color w:val="000000"/>
          <w:sz w:val="20"/>
          <w:szCs w:val="20"/>
        </w:rPr>
        <w:t>an</w:t>
      </w:r>
      <w:r>
        <w:rPr>
          <w:color w:val="000000"/>
          <w:sz w:val="20"/>
          <w:szCs w:val="20"/>
        </w:rPr>
        <w:t xml:space="preserve"> applicable condition such as “The requirements for inter-frequency candidate cells are applicable to UE capable of </w:t>
      </w:r>
      <w:r w:rsidRPr="0028617E">
        <w:rPr>
          <w:color w:val="000000"/>
          <w:sz w:val="20"/>
          <w:szCs w:val="20"/>
        </w:rPr>
        <w:t>ltm-InterFreq-r18</w:t>
      </w:r>
      <w:r>
        <w:rPr>
          <w:color w:val="000000"/>
          <w:sz w:val="20"/>
          <w:szCs w:val="20"/>
        </w:rPr>
        <w:t>” in the introduction, i.e., cl. 8.25.1. But it is common understanding that the requirements are only applicable to UEs supporting the corresponding capability. We don’t think it is necessary to add such an applicable rule.</w:t>
      </w:r>
    </w:p>
    <w:p w14:paraId="0A717EEA" w14:textId="11F50DFE" w:rsidR="0028617E" w:rsidRPr="00B04BDB" w:rsidRDefault="0028617E" w:rsidP="0028617E">
      <w:pPr>
        <w:spacing w:beforeLines="50" w:before="120" w:afterLines="50" w:after="120"/>
        <w:rPr>
          <w:rFonts w:cstheme="minorHAnsi"/>
          <w:b/>
          <w:sz w:val="20"/>
          <w:szCs w:val="20"/>
        </w:rPr>
      </w:pPr>
      <w:r>
        <w:rPr>
          <w:rFonts w:cstheme="minorHAnsi"/>
          <w:b/>
          <w:sz w:val="20"/>
          <w:szCs w:val="20"/>
        </w:rPr>
        <w:t>Proposal</w:t>
      </w:r>
      <w:r w:rsidRPr="00B04BDB">
        <w:rPr>
          <w:rFonts w:cstheme="minorHAnsi"/>
          <w:b/>
          <w:sz w:val="20"/>
          <w:szCs w:val="20"/>
        </w:rPr>
        <w:t xml:space="preserve"> </w:t>
      </w:r>
      <w:r>
        <w:rPr>
          <w:rFonts w:cstheme="minorHAnsi"/>
          <w:b/>
          <w:sz w:val="20"/>
          <w:szCs w:val="20"/>
        </w:rPr>
        <w:t>2</w:t>
      </w:r>
      <w:r w:rsidRPr="00B04BDB">
        <w:rPr>
          <w:rFonts w:cstheme="minorHAnsi"/>
          <w:b/>
          <w:sz w:val="20"/>
          <w:szCs w:val="20"/>
        </w:rPr>
        <w:t xml:space="preserve">: </w:t>
      </w:r>
      <w:r>
        <w:rPr>
          <w:rFonts w:cstheme="minorHAnsi"/>
          <w:b/>
          <w:sz w:val="20"/>
          <w:szCs w:val="20"/>
        </w:rPr>
        <w:t>Remove the sentence “</w:t>
      </w:r>
      <w:r w:rsidRPr="0028617E">
        <w:rPr>
          <w:rFonts w:cstheme="minorHAnsi"/>
          <w:b/>
          <w:sz w:val="20"/>
          <w:szCs w:val="20"/>
        </w:rPr>
        <w:t>FFS: this is only applicable to UE supporting inter-frequency L1 measurement with MG.</w:t>
      </w:r>
      <w:r>
        <w:rPr>
          <w:rFonts w:cstheme="minorHAnsi"/>
          <w:b/>
          <w:sz w:val="20"/>
          <w:szCs w:val="20"/>
        </w:rPr>
        <w:t xml:space="preserve">” in early TCI state activation requirements. </w:t>
      </w:r>
    </w:p>
    <w:p w14:paraId="481273CB" w14:textId="33DDD6DF" w:rsidR="00C82D87" w:rsidRDefault="002F16E5" w:rsidP="001E3C69">
      <w:pPr>
        <w:widowControl/>
        <w:spacing w:after="120"/>
        <w:rPr>
          <w:color w:val="000000"/>
          <w:sz w:val="20"/>
          <w:szCs w:val="20"/>
        </w:rPr>
      </w:pPr>
      <w:r>
        <w:rPr>
          <w:rFonts w:hint="eastAsia"/>
          <w:color w:val="000000"/>
          <w:sz w:val="20"/>
          <w:szCs w:val="20"/>
        </w:rPr>
        <w:t>F</w:t>
      </w:r>
      <w:r>
        <w:rPr>
          <w:color w:val="000000"/>
          <w:sz w:val="20"/>
          <w:szCs w:val="20"/>
        </w:rPr>
        <w:t>or PDCCH order RACH, there are similar issues, the above two Proposals are applicable to PDCCH order RACH delay requirements too.</w:t>
      </w:r>
    </w:p>
    <w:p w14:paraId="36721176" w14:textId="77777777" w:rsidR="002F16E5" w:rsidRDefault="002F16E5" w:rsidP="002F16E5">
      <w:pPr>
        <w:spacing w:beforeLines="50" w:before="120" w:afterLines="50" w:after="120"/>
        <w:rPr>
          <w:rFonts w:cstheme="minorHAnsi"/>
          <w:b/>
          <w:sz w:val="20"/>
          <w:szCs w:val="20"/>
        </w:rPr>
      </w:pPr>
      <w:r>
        <w:rPr>
          <w:rFonts w:cstheme="minorHAnsi"/>
          <w:b/>
          <w:sz w:val="20"/>
          <w:szCs w:val="20"/>
        </w:rPr>
        <w:t>Proposal</w:t>
      </w:r>
      <w:r w:rsidRPr="00B04BDB">
        <w:rPr>
          <w:rFonts w:cstheme="minorHAnsi"/>
          <w:b/>
          <w:sz w:val="20"/>
          <w:szCs w:val="20"/>
        </w:rPr>
        <w:t xml:space="preserve"> </w:t>
      </w:r>
      <w:r>
        <w:rPr>
          <w:rFonts w:cstheme="minorHAnsi"/>
          <w:b/>
          <w:sz w:val="20"/>
          <w:szCs w:val="20"/>
        </w:rPr>
        <w:t>3</w:t>
      </w:r>
      <w:r w:rsidRPr="00B04BDB">
        <w:rPr>
          <w:rFonts w:cstheme="minorHAnsi"/>
          <w:b/>
          <w:sz w:val="20"/>
          <w:szCs w:val="20"/>
        </w:rPr>
        <w:t xml:space="preserve">: </w:t>
      </w:r>
      <w:r>
        <w:rPr>
          <w:rFonts w:cstheme="minorHAnsi"/>
          <w:b/>
          <w:sz w:val="20"/>
          <w:szCs w:val="20"/>
        </w:rPr>
        <w:t>In PDCCH order delay requirements:</w:t>
      </w:r>
    </w:p>
    <w:p w14:paraId="0BD53EF0" w14:textId="5118D872" w:rsidR="002F16E5" w:rsidRPr="002F16E5" w:rsidRDefault="00476773" w:rsidP="002F16E5">
      <w:pPr>
        <w:pStyle w:val="ListParagraph"/>
        <w:numPr>
          <w:ilvl w:val="0"/>
          <w:numId w:val="52"/>
        </w:numPr>
        <w:spacing w:beforeLines="50" w:before="120" w:afterLines="50" w:after="120"/>
        <w:rPr>
          <w:rFonts w:cstheme="minorHAnsi"/>
          <w:b/>
          <w:sz w:val="20"/>
          <w:szCs w:val="20"/>
        </w:rPr>
      </w:pPr>
      <w:r>
        <w:rPr>
          <w:rFonts w:cstheme="minorHAnsi"/>
          <w:b/>
          <w:sz w:val="20"/>
          <w:szCs w:val="20"/>
        </w:rPr>
        <w:t>differentiate the cases based on whether the SSB is to be measured within or outside gap</w:t>
      </w:r>
      <w:r w:rsidR="002F16E5" w:rsidRPr="002F16E5">
        <w:rPr>
          <w:rFonts w:cstheme="minorHAnsi"/>
          <w:b/>
          <w:sz w:val="20"/>
          <w:szCs w:val="20"/>
        </w:rPr>
        <w:t>.</w:t>
      </w:r>
    </w:p>
    <w:p w14:paraId="60E558E7" w14:textId="5A30590D" w:rsidR="002F16E5" w:rsidRPr="002F16E5" w:rsidRDefault="002F16E5" w:rsidP="002F16E5">
      <w:pPr>
        <w:pStyle w:val="ListParagraph"/>
        <w:numPr>
          <w:ilvl w:val="0"/>
          <w:numId w:val="52"/>
        </w:numPr>
        <w:spacing w:beforeLines="50" w:before="120" w:afterLines="50" w:after="120"/>
        <w:rPr>
          <w:rFonts w:cstheme="minorHAnsi"/>
          <w:b/>
          <w:sz w:val="20"/>
          <w:szCs w:val="20"/>
        </w:rPr>
      </w:pPr>
      <w:r w:rsidRPr="002F16E5">
        <w:rPr>
          <w:rFonts w:cstheme="minorHAnsi"/>
          <w:b/>
          <w:sz w:val="20"/>
          <w:szCs w:val="20"/>
        </w:rPr>
        <w:t xml:space="preserve">Remove the sentence “FFS: this is only applicable to UE supporting inter-frequency L1 measurement with MG.” </w:t>
      </w:r>
    </w:p>
    <w:p w14:paraId="1FEC6265" w14:textId="0A3A2DAC" w:rsidR="009D457C" w:rsidRDefault="007534F4" w:rsidP="00CE53F0">
      <w:pPr>
        <w:pStyle w:val="Heading2"/>
        <w:rPr>
          <w:rFonts w:asciiTheme="minorHAnsi" w:hAnsiTheme="minorHAnsi" w:cstheme="minorHAnsi"/>
          <w:sz w:val="28"/>
          <w:szCs w:val="18"/>
        </w:rPr>
      </w:pPr>
      <w:r>
        <w:rPr>
          <w:rFonts w:asciiTheme="minorHAnsi" w:hAnsiTheme="minorHAnsi" w:cstheme="minorHAnsi"/>
          <w:sz w:val="28"/>
          <w:szCs w:val="18"/>
        </w:rPr>
        <w:t>2.</w:t>
      </w:r>
      <w:r w:rsidR="00541376">
        <w:rPr>
          <w:rFonts w:asciiTheme="minorHAnsi" w:hAnsiTheme="minorHAnsi" w:cstheme="minorHAnsi"/>
          <w:sz w:val="28"/>
          <w:szCs w:val="18"/>
        </w:rPr>
        <w:t>2</w:t>
      </w:r>
      <w:r>
        <w:rPr>
          <w:rFonts w:asciiTheme="minorHAnsi" w:hAnsiTheme="minorHAnsi" w:cstheme="minorHAnsi"/>
          <w:sz w:val="28"/>
          <w:szCs w:val="18"/>
        </w:rPr>
        <w:t xml:space="preserve"> </w:t>
      </w:r>
      <w:r w:rsidRPr="007534F4">
        <w:rPr>
          <w:rFonts w:asciiTheme="minorHAnsi" w:hAnsiTheme="minorHAnsi" w:cstheme="minorHAnsi"/>
          <w:sz w:val="28"/>
          <w:szCs w:val="18"/>
        </w:rPr>
        <w:t>Cell switch delay requirements</w:t>
      </w:r>
      <w:bookmarkStart w:id="4" w:name="_Hlk158047340"/>
    </w:p>
    <w:p w14:paraId="48C87E86" w14:textId="27CF0CBF" w:rsidR="00153A8E" w:rsidRPr="00153A8E" w:rsidRDefault="00153A8E" w:rsidP="00153A8E">
      <w:pPr>
        <w:pStyle w:val="Heading3"/>
        <w:rPr>
          <w:rFonts w:asciiTheme="minorHAnsi" w:hAnsiTheme="minorHAnsi" w:cstheme="minorHAnsi"/>
          <w:bCs/>
          <w:sz w:val="22"/>
          <w:szCs w:val="22"/>
        </w:rPr>
      </w:pPr>
      <w:r>
        <w:rPr>
          <w:sz w:val="22"/>
          <w:szCs w:val="16"/>
        </w:rPr>
        <w:t xml:space="preserve">2.2.1. </w:t>
      </w:r>
      <w:r w:rsidRPr="00153A8E">
        <w:rPr>
          <w:rFonts w:asciiTheme="minorHAnsi" w:hAnsiTheme="minorHAnsi" w:cstheme="minorHAnsi"/>
          <w:bCs/>
          <w:sz w:val="22"/>
          <w:szCs w:val="22"/>
        </w:rPr>
        <w:t xml:space="preserve">Conditions of </w:t>
      </w:r>
      <w:r w:rsidRPr="00153A8E">
        <w:rPr>
          <w:rFonts w:asciiTheme="minorHAnsi" w:eastAsiaTheme="minorEastAsia" w:hAnsiTheme="minorHAnsi" w:cstheme="minorHAnsi"/>
          <w:bCs/>
          <w:sz w:val="22"/>
          <w:szCs w:val="22"/>
        </w:rPr>
        <w:t>T</w:t>
      </w:r>
      <w:r w:rsidRPr="00153A8E">
        <w:rPr>
          <w:rFonts w:asciiTheme="minorHAnsi" w:eastAsiaTheme="minorEastAsia" w:hAnsiTheme="minorHAnsi" w:cstheme="minorHAnsi"/>
          <w:bCs/>
          <w:sz w:val="22"/>
          <w:szCs w:val="22"/>
          <w:vertAlign w:val="subscript"/>
        </w:rPr>
        <w:t>first-RS</w:t>
      </w:r>
      <w:r w:rsidRPr="00153A8E">
        <w:rPr>
          <w:rFonts w:asciiTheme="minorHAnsi" w:hAnsiTheme="minorHAnsi" w:cstheme="minorHAnsi"/>
          <w:bCs/>
          <w:sz w:val="22"/>
          <w:szCs w:val="22"/>
        </w:rPr>
        <w:t xml:space="preserve"> =0 in cell switch delay</w:t>
      </w:r>
    </w:p>
    <w:p w14:paraId="56466C84" w14:textId="61D955C0" w:rsidR="001855E2" w:rsidRPr="00C40424" w:rsidRDefault="00C40424" w:rsidP="001855E2">
      <w:pPr>
        <w:rPr>
          <w:sz w:val="20"/>
          <w:szCs w:val="20"/>
        </w:rPr>
      </w:pPr>
      <w:r w:rsidRPr="00C40424">
        <w:rPr>
          <w:sz w:val="20"/>
          <w:szCs w:val="20"/>
        </w:rPr>
        <w:t xml:space="preserve">In </w:t>
      </w:r>
      <w:r>
        <w:rPr>
          <w:sz w:val="20"/>
          <w:szCs w:val="20"/>
        </w:rPr>
        <w:t>RAN4#112, it was agreed to extend</w:t>
      </w:r>
      <w:r w:rsidRPr="00C40424">
        <w:rPr>
          <w:sz w:val="20"/>
          <w:szCs w:val="20"/>
        </w:rPr>
        <w:t xml:space="preserve"> the condition for T</w:t>
      </w:r>
      <w:r w:rsidRPr="00C40424">
        <w:rPr>
          <w:sz w:val="20"/>
          <w:szCs w:val="20"/>
          <w:vertAlign w:val="subscript"/>
        </w:rPr>
        <w:t xml:space="preserve">first-RS </w:t>
      </w:r>
      <w:r w:rsidRPr="00C40424">
        <w:rPr>
          <w:sz w:val="20"/>
          <w:szCs w:val="20"/>
        </w:rPr>
        <w:t>= 0 “the time gap between TCI state activation and the cell switch command is not more than 160 ms</w:t>
      </w:r>
      <w:r>
        <w:rPr>
          <w:sz w:val="20"/>
          <w:szCs w:val="20"/>
        </w:rPr>
        <w:t xml:space="preserve">” to “480ms” in FR1 for UE not </w:t>
      </w:r>
      <w:r w:rsidRPr="00C40424">
        <w:rPr>
          <w:sz w:val="20"/>
          <w:szCs w:val="20"/>
        </w:rPr>
        <w:t>supporting/configured with L1 measurement</w:t>
      </w:r>
      <w:r>
        <w:rPr>
          <w:sz w:val="20"/>
          <w:szCs w:val="20"/>
        </w:rPr>
        <w:t>. It was also clarified that “</w:t>
      </w:r>
      <w:r w:rsidRPr="00C40424">
        <w:rPr>
          <w:sz w:val="20"/>
          <w:szCs w:val="20"/>
        </w:rPr>
        <w:t>This is not to extent 160ms to 480ms directly. Longer L3 measurement delay may be expected in the 480ms duration</w:t>
      </w:r>
      <w:r>
        <w:rPr>
          <w:sz w:val="20"/>
          <w:szCs w:val="20"/>
        </w:rPr>
        <w:t>”, which means UE may perform several shots of T/F tracking during the 480ms.</w:t>
      </w:r>
      <w:r w:rsidR="00C302FA">
        <w:rPr>
          <w:sz w:val="20"/>
          <w:szCs w:val="20"/>
        </w:rPr>
        <w:t xml:space="preserve"> Following the timing requirements, UE is supposed to track the target </w:t>
      </w:r>
      <w:r w:rsidR="0094019C">
        <w:rPr>
          <w:sz w:val="20"/>
          <w:szCs w:val="20"/>
        </w:rPr>
        <w:t>cell at least every 160ms.</w:t>
      </w:r>
    </w:p>
    <w:tbl>
      <w:tblPr>
        <w:tblStyle w:val="TableGrid"/>
        <w:tblW w:w="0" w:type="auto"/>
        <w:tblLook w:val="04A0" w:firstRow="1" w:lastRow="0" w:firstColumn="1" w:lastColumn="0" w:noHBand="0" w:noVBand="1"/>
      </w:tblPr>
      <w:tblGrid>
        <w:gridCol w:w="9629"/>
      </w:tblGrid>
      <w:tr w:rsidR="001855E2" w14:paraId="23B857E1" w14:textId="77777777" w:rsidTr="001855E2">
        <w:tc>
          <w:tcPr>
            <w:tcW w:w="9629" w:type="dxa"/>
          </w:tcPr>
          <w:p w14:paraId="72101EA3" w14:textId="77777777" w:rsidR="001855E2" w:rsidRPr="001855E2" w:rsidRDefault="001855E2" w:rsidP="001855E2">
            <w:pPr>
              <w:spacing w:afterLines="50" w:after="120"/>
              <w:rPr>
                <w:b/>
                <w:sz w:val="18"/>
                <w:szCs w:val="20"/>
                <w:u w:val="single"/>
                <w:lang w:eastAsia="en-US"/>
              </w:rPr>
            </w:pPr>
            <w:r w:rsidRPr="001855E2">
              <w:rPr>
                <w:b/>
                <w:sz w:val="18"/>
                <w:szCs w:val="20"/>
                <w:u w:val="single"/>
              </w:rPr>
              <w:t>Issue 1-4-1-2: Conditions of T</w:t>
            </w:r>
            <w:r w:rsidRPr="001855E2">
              <w:rPr>
                <w:b/>
                <w:sz w:val="18"/>
                <w:szCs w:val="20"/>
                <w:u w:val="single"/>
                <w:vertAlign w:val="subscript"/>
              </w:rPr>
              <w:t>first-RS</w:t>
            </w:r>
            <w:r w:rsidRPr="001855E2">
              <w:rPr>
                <w:b/>
                <w:sz w:val="18"/>
                <w:szCs w:val="20"/>
                <w:u w:val="single"/>
              </w:rPr>
              <w:t xml:space="preserve"> =0 in cell switch delay</w:t>
            </w:r>
          </w:p>
          <w:p w14:paraId="6F74537D" w14:textId="77777777" w:rsidR="001855E2" w:rsidRPr="001855E2" w:rsidRDefault="001855E2" w:rsidP="001855E2">
            <w:pPr>
              <w:spacing w:beforeLines="50" w:before="120" w:afterLines="50" w:after="120"/>
              <w:rPr>
                <w:i/>
                <w:iCs/>
                <w:color w:val="0070C0"/>
                <w:sz w:val="15"/>
                <w:szCs w:val="15"/>
              </w:rPr>
            </w:pPr>
            <w:r w:rsidRPr="001855E2">
              <w:rPr>
                <w:i/>
                <w:iCs/>
                <w:color w:val="0070C0"/>
                <w:sz w:val="15"/>
                <w:szCs w:val="15"/>
              </w:rPr>
              <w:t>Ad hoc agreement</w:t>
            </w:r>
          </w:p>
          <w:p w14:paraId="5CB3E16A" w14:textId="77777777" w:rsidR="001855E2" w:rsidRPr="001855E2" w:rsidRDefault="001855E2" w:rsidP="001855E2">
            <w:pPr>
              <w:rPr>
                <w:sz w:val="18"/>
                <w:szCs w:val="20"/>
                <w:lang w:eastAsia="en-US"/>
              </w:rPr>
            </w:pPr>
            <w:r w:rsidRPr="001855E2">
              <w:rPr>
                <w:rFonts w:eastAsia="宋体"/>
                <w:b/>
                <w:bCs/>
                <w:sz w:val="18"/>
                <w:szCs w:val="21"/>
              </w:rPr>
              <w:t>&lt;</w:t>
            </w:r>
            <w:r w:rsidRPr="001855E2">
              <w:rPr>
                <w:b/>
                <w:sz w:val="18"/>
                <w:szCs w:val="20"/>
              </w:rPr>
              <w:t>Agreement</w:t>
            </w:r>
            <w:r w:rsidRPr="001855E2">
              <w:rPr>
                <w:rFonts w:eastAsia="宋体"/>
                <w:b/>
                <w:bCs/>
                <w:sz w:val="18"/>
                <w:szCs w:val="21"/>
              </w:rPr>
              <w:t>&gt;:</w:t>
            </w:r>
          </w:p>
          <w:p w14:paraId="7BDB74D9" w14:textId="77777777" w:rsidR="001855E2" w:rsidRPr="001855E2" w:rsidRDefault="001855E2" w:rsidP="001855E2">
            <w:pPr>
              <w:pStyle w:val="ListParagraph"/>
              <w:widowControl/>
              <w:numPr>
                <w:ilvl w:val="0"/>
                <w:numId w:val="51"/>
              </w:numPr>
              <w:overflowPunct w:val="0"/>
              <w:autoSpaceDE w:val="0"/>
              <w:autoSpaceDN w:val="0"/>
              <w:adjustRightInd w:val="0"/>
              <w:contextualSpacing w:val="0"/>
              <w:rPr>
                <w:sz w:val="18"/>
                <w:szCs w:val="20"/>
                <w:lang w:eastAsia="ja-JP"/>
              </w:rPr>
            </w:pPr>
            <w:r w:rsidRPr="001855E2">
              <w:rPr>
                <w:bCs/>
                <w:sz w:val="18"/>
                <w:szCs w:val="20"/>
              </w:rPr>
              <w:lastRenderedPageBreak/>
              <w:t xml:space="preserve">For cell switch with L1 measurement: </w:t>
            </w:r>
            <w:r w:rsidRPr="001855E2">
              <w:rPr>
                <w:sz w:val="18"/>
                <w:szCs w:val="20"/>
              </w:rPr>
              <w:t>Extend the condition for T</w:t>
            </w:r>
            <w:r w:rsidRPr="001855E2">
              <w:rPr>
                <w:sz w:val="18"/>
                <w:szCs w:val="20"/>
                <w:vertAlign w:val="subscript"/>
              </w:rPr>
              <w:t xml:space="preserve">first-RS </w:t>
            </w:r>
            <w:r w:rsidRPr="001855E2">
              <w:rPr>
                <w:sz w:val="18"/>
                <w:szCs w:val="20"/>
              </w:rPr>
              <w:t>= 0 “the time gap between receiving the LTM candidate cell TCI state activation MAC-CE and the cell switch command is not more than [160 ms]” from the agreed 160 ms, to TCI state activation delay stated in section 8.25.3 + 160 ms.</w:t>
            </w:r>
          </w:p>
          <w:p w14:paraId="2D1EA4C4" w14:textId="77777777" w:rsidR="001855E2" w:rsidRPr="001855E2" w:rsidRDefault="001855E2" w:rsidP="001855E2">
            <w:pPr>
              <w:pStyle w:val="ListParagraph"/>
              <w:widowControl/>
              <w:numPr>
                <w:ilvl w:val="1"/>
                <w:numId w:val="51"/>
              </w:numPr>
              <w:overflowPunct w:val="0"/>
              <w:autoSpaceDE w:val="0"/>
              <w:autoSpaceDN w:val="0"/>
              <w:adjustRightInd w:val="0"/>
              <w:contextualSpacing w:val="0"/>
              <w:rPr>
                <w:bCs/>
                <w:sz w:val="18"/>
                <w:szCs w:val="20"/>
              </w:rPr>
            </w:pPr>
            <w:r w:rsidRPr="001855E2">
              <w:rPr>
                <w:bCs/>
                <w:sz w:val="18"/>
                <w:szCs w:val="20"/>
              </w:rPr>
              <w:t xml:space="preserve">In FR1, for UE not supporting/configured with L1 measurement, one SSB occasion is needed from RAN4 requirement point of view for T/F fine tracking, </w:t>
            </w:r>
            <w:proofErr w:type="gramStart"/>
            <w:r w:rsidRPr="001855E2">
              <w:rPr>
                <w:bCs/>
                <w:sz w:val="18"/>
                <w:szCs w:val="20"/>
              </w:rPr>
              <w:t>if</w:t>
            </w:r>
            <w:proofErr w:type="gramEnd"/>
            <w:r w:rsidRPr="001855E2">
              <w:rPr>
                <w:bCs/>
                <w:sz w:val="18"/>
                <w:szCs w:val="20"/>
              </w:rPr>
              <w:t xml:space="preserve"> </w:t>
            </w:r>
          </w:p>
          <w:p w14:paraId="0BA3B777" w14:textId="77777777" w:rsidR="001855E2" w:rsidRPr="001855E2" w:rsidRDefault="001855E2" w:rsidP="001855E2">
            <w:pPr>
              <w:pStyle w:val="ListParagraph"/>
              <w:widowControl/>
              <w:numPr>
                <w:ilvl w:val="2"/>
                <w:numId w:val="51"/>
              </w:numPr>
              <w:overflowPunct w:val="0"/>
              <w:autoSpaceDE w:val="0"/>
              <w:autoSpaceDN w:val="0"/>
              <w:adjustRightInd w:val="0"/>
              <w:contextualSpacing w:val="0"/>
              <w:rPr>
                <w:sz w:val="18"/>
                <w:szCs w:val="20"/>
                <w:lang w:eastAsia="ja-JP"/>
              </w:rPr>
            </w:pPr>
            <w:r w:rsidRPr="001855E2">
              <w:rPr>
                <w:bCs/>
                <w:sz w:val="18"/>
                <w:szCs w:val="20"/>
              </w:rPr>
              <w:t xml:space="preserve">the time gap between completion of TCI activation and cell switch command is larger than </w:t>
            </w:r>
            <w:proofErr w:type="gramStart"/>
            <w:r w:rsidRPr="001855E2">
              <w:rPr>
                <w:bCs/>
                <w:sz w:val="18"/>
                <w:szCs w:val="20"/>
              </w:rPr>
              <w:t>480ms</w:t>
            </w:r>
            <w:proofErr w:type="gramEnd"/>
          </w:p>
          <w:p w14:paraId="22C215EA" w14:textId="77777777" w:rsidR="001855E2" w:rsidRPr="001855E2" w:rsidRDefault="001855E2" w:rsidP="001855E2">
            <w:pPr>
              <w:pStyle w:val="ListParagraph"/>
              <w:widowControl/>
              <w:numPr>
                <w:ilvl w:val="2"/>
                <w:numId w:val="51"/>
              </w:numPr>
              <w:overflowPunct w:val="0"/>
              <w:autoSpaceDE w:val="0"/>
              <w:autoSpaceDN w:val="0"/>
              <w:adjustRightInd w:val="0"/>
              <w:contextualSpacing w:val="0"/>
              <w:rPr>
                <w:sz w:val="18"/>
                <w:szCs w:val="20"/>
                <w:lang w:eastAsia="ja-JP"/>
              </w:rPr>
            </w:pPr>
            <w:r w:rsidRPr="001855E2">
              <w:rPr>
                <w:sz w:val="18"/>
                <w:szCs w:val="20"/>
                <w:lang w:eastAsia="ja-JP"/>
              </w:rPr>
              <w:t>Note: This is not to extent 160ms to 480ms directly. Longer L3 measurement delay may be expected in the 480ms duration.</w:t>
            </w:r>
          </w:p>
          <w:p w14:paraId="0ACF8901" w14:textId="77777777" w:rsidR="001855E2" w:rsidRPr="001855E2" w:rsidRDefault="001855E2" w:rsidP="001855E2">
            <w:pPr>
              <w:pStyle w:val="ListParagraph"/>
              <w:widowControl/>
              <w:numPr>
                <w:ilvl w:val="1"/>
                <w:numId w:val="51"/>
              </w:numPr>
              <w:overflowPunct w:val="0"/>
              <w:autoSpaceDE w:val="0"/>
              <w:autoSpaceDN w:val="0"/>
              <w:adjustRightInd w:val="0"/>
              <w:contextualSpacing w:val="0"/>
              <w:rPr>
                <w:sz w:val="18"/>
                <w:szCs w:val="20"/>
                <w:lang w:eastAsia="ja-JP"/>
              </w:rPr>
            </w:pPr>
            <w:r w:rsidRPr="001855E2">
              <w:rPr>
                <w:sz w:val="18"/>
                <w:szCs w:val="20"/>
              </w:rPr>
              <w:t>Discuss the wording in CR.</w:t>
            </w:r>
          </w:p>
          <w:p w14:paraId="56C79A6B" w14:textId="77777777" w:rsidR="001855E2" w:rsidRPr="001855E2" w:rsidRDefault="001855E2" w:rsidP="001855E2">
            <w:pPr>
              <w:pStyle w:val="ListParagraph"/>
              <w:ind w:left="840"/>
              <w:rPr>
                <w:sz w:val="18"/>
                <w:szCs w:val="20"/>
                <w:lang w:eastAsia="ja-JP"/>
              </w:rPr>
            </w:pPr>
          </w:p>
          <w:p w14:paraId="427BD768" w14:textId="77777777" w:rsidR="001855E2" w:rsidRPr="001855E2" w:rsidRDefault="001855E2" w:rsidP="001855E2">
            <w:pPr>
              <w:pStyle w:val="ListParagraph"/>
              <w:widowControl/>
              <w:numPr>
                <w:ilvl w:val="0"/>
                <w:numId w:val="51"/>
              </w:numPr>
              <w:overflowPunct w:val="0"/>
              <w:autoSpaceDE w:val="0"/>
              <w:autoSpaceDN w:val="0"/>
              <w:adjustRightInd w:val="0"/>
              <w:contextualSpacing w:val="0"/>
              <w:rPr>
                <w:bCs/>
                <w:sz w:val="18"/>
                <w:szCs w:val="20"/>
                <w:lang w:eastAsia="zh-CN"/>
              </w:rPr>
            </w:pPr>
            <w:r w:rsidRPr="001855E2">
              <w:rPr>
                <w:bCs/>
                <w:sz w:val="18"/>
                <w:szCs w:val="20"/>
              </w:rPr>
              <w:t xml:space="preserve">FFS the following </w:t>
            </w:r>
            <w:proofErr w:type="gramStart"/>
            <w:r w:rsidRPr="001855E2">
              <w:rPr>
                <w:bCs/>
                <w:sz w:val="18"/>
                <w:szCs w:val="20"/>
              </w:rPr>
              <w:t>assumption</w:t>
            </w:r>
            <w:proofErr w:type="gramEnd"/>
          </w:p>
          <w:p w14:paraId="24039723" w14:textId="77777777" w:rsidR="001855E2" w:rsidRPr="001855E2" w:rsidRDefault="001855E2" w:rsidP="001855E2">
            <w:pPr>
              <w:pStyle w:val="ListParagraph"/>
              <w:widowControl/>
              <w:numPr>
                <w:ilvl w:val="1"/>
                <w:numId w:val="51"/>
              </w:numPr>
              <w:overflowPunct w:val="0"/>
              <w:autoSpaceDE w:val="0"/>
              <w:autoSpaceDN w:val="0"/>
              <w:adjustRightInd w:val="0"/>
              <w:contextualSpacing w:val="0"/>
              <w:rPr>
                <w:bCs/>
                <w:sz w:val="18"/>
                <w:szCs w:val="20"/>
              </w:rPr>
            </w:pPr>
            <w:r w:rsidRPr="001855E2">
              <w:rPr>
                <w:bCs/>
                <w:sz w:val="18"/>
                <w:szCs w:val="20"/>
              </w:rPr>
              <w:t xml:space="preserve">In FR1, for UE not supporting/configured with L1 measurement, one SSB occasion is needed from RAN4 requirement point of view for T/F fine tracking, </w:t>
            </w:r>
            <w:proofErr w:type="gramStart"/>
            <w:r w:rsidRPr="001855E2">
              <w:rPr>
                <w:bCs/>
                <w:sz w:val="18"/>
                <w:szCs w:val="20"/>
              </w:rPr>
              <w:t>if</w:t>
            </w:r>
            <w:proofErr w:type="gramEnd"/>
            <w:r w:rsidRPr="001855E2">
              <w:rPr>
                <w:bCs/>
                <w:sz w:val="18"/>
                <w:szCs w:val="20"/>
              </w:rPr>
              <w:t xml:space="preserve"> </w:t>
            </w:r>
          </w:p>
          <w:p w14:paraId="491AC9B1" w14:textId="42F5185B" w:rsidR="001855E2" w:rsidRPr="001855E2" w:rsidRDefault="001855E2" w:rsidP="001855E2">
            <w:pPr>
              <w:pStyle w:val="ListParagraph"/>
              <w:widowControl/>
              <w:numPr>
                <w:ilvl w:val="2"/>
                <w:numId w:val="51"/>
              </w:numPr>
              <w:overflowPunct w:val="0"/>
              <w:autoSpaceDE w:val="0"/>
              <w:autoSpaceDN w:val="0"/>
              <w:adjustRightInd w:val="0"/>
              <w:contextualSpacing w:val="0"/>
              <w:rPr>
                <w:bCs/>
                <w:sz w:val="18"/>
                <w:szCs w:val="20"/>
              </w:rPr>
            </w:pPr>
            <w:r w:rsidRPr="001855E2">
              <w:rPr>
                <w:bCs/>
                <w:sz w:val="18"/>
                <w:szCs w:val="20"/>
              </w:rPr>
              <w:t>the time gap between early RACH transmission and cell switch command is larger than [160ms] and the L3 measurement interval is larger than 160 ms.</w:t>
            </w:r>
          </w:p>
        </w:tc>
      </w:tr>
    </w:tbl>
    <w:p w14:paraId="41E56BDD" w14:textId="77777777" w:rsidR="001855E2" w:rsidRDefault="001855E2" w:rsidP="001855E2">
      <w:pPr>
        <w:rPr>
          <w:lang w:val="en-GB" w:eastAsia="en-US"/>
        </w:rPr>
      </w:pPr>
    </w:p>
    <w:p w14:paraId="4E27BB31" w14:textId="1C8D002B" w:rsidR="001855E2" w:rsidRPr="00F179A4" w:rsidRDefault="00C40424" w:rsidP="001855E2">
      <w:pPr>
        <w:rPr>
          <w:sz w:val="20"/>
          <w:szCs w:val="18"/>
          <w:lang w:val="en-GB"/>
        </w:rPr>
      </w:pPr>
      <w:r w:rsidRPr="00F179A4">
        <w:rPr>
          <w:sz w:val="20"/>
          <w:szCs w:val="18"/>
          <w:lang w:val="en-GB"/>
        </w:rPr>
        <w:t xml:space="preserve">After further checking the agreement, </w:t>
      </w:r>
      <w:r w:rsidR="00E61E97" w:rsidRPr="00F179A4">
        <w:rPr>
          <w:sz w:val="20"/>
          <w:szCs w:val="18"/>
          <w:lang w:val="en-GB"/>
        </w:rPr>
        <w:t>w</w:t>
      </w:r>
      <w:r w:rsidR="00C302FA" w:rsidRPr="00F179A4">
        <w:rPr>
          <w:sz w:val="20"/>
          <w:szCs w:val="18"/>
          <w:lang w:val="en-GB"/>
        </w:rPr>
        <w:t xml:space="preserve">e </w:t>
      </w:r>
      <w:r w:rsidR="00E61E97" w:rsidRPr="00F179A4">
        <w:rPr>
          <w:sz w:val="20"/>
          <w:szCs w:val="18"/>
          <w:lang w:val="en-GB"/>
        </w:rPr>
        <w:t xml:space="preserve">found the agreement is not applicable to most of </w:t>
      </w:r>
      <w:r w:rsidR="00C302FA" w:rsidRPr="00F179A4">
        <w:rPr>
          <w:sz w:val="20"/>
          <w:szCs w:val="18"/>
          <w:lang w:val="en-GB"/>
        </w:rPr>
        <w:t>inter-frequency</w:t>
      </w:r>
      <w:r w:rsidR="00E61E97" w:rsidRPr="00F179A4">
        <w:rPr>
          <w:sz w:val="20"/>
          <w:szCs w:val="18"/>
          <w:lang w:val="en-GB"/>
        </w:rPr>
        <w:t xml:space="preserve"> scenarios</w:t>
      </w:r>
      <w:r w:rsidR="00C302FA" w:rsidRPr="00F179A4">
        <w:rPr>
          <w:sz w:val="20"/>
          <w:szCs w:val="18"/>
          <w:lang w:val="en-GB"/>
        </w:rPr>
        <w:t>, where UE is supposed to measure and track the target cells within MG. The typical MGRP is 80ms.</w:t>
      </w:r>
      <w:r w:rsidR="0094019C" w:rsidRPr="00F179A4">
        <w:rPr>
          <w:sz w:val="20"/>
          <w:szCs w:val="18"/>
          <w:lang w:val="en-GB"/>
        </w:rPr>
        <w:t xml:space="preserve"> If NW activates the TCI states on more than two different frequency layers, it is not possible to track each cell every 160ms. We understand that the above agreement is workable for some inter-frequency cases, such as a shorter MGRP configured and cells on less frequency layers to track. But we don’t think it is good to go that far by adding complicated conditions. </w:t>
      </w:r>
      <w:proofErr w:type="gramStart"/>
      <w:r w:rsidR="0094019C" w:rsidRPr="00F179A4">
        <w:rPr>
          <w:sz w:val="20"/>
          <w:szCs w:val="18"/>
          <w:lang w:val="en-GB"/>
        </w:rPr>
        <w:t>Therefore</w:t>
      </w:r>
      <w:proofErr w:type="gramEnd"/>
      <w:r w:rsidR="0094019C" w:rsidRPr="00F179A4">
        <w:rPr>
          <w:sz w:val="20"/>
          <w:szCs w:val="18"/>
          <w:lang w:val="en-GB"/>
        </w:rPr>
        <w:t xml:space="preserve"> we propose to limit the above agreement to intra-frequency.</w:t>
      </w:r>
    </w:p>
    <w:p w14:paraId="3F38C8EA" w14:textId="77777777" w:rsidR="0094019C" w:rsidRDefault="0094019C" w:rsidP="001855E2">
      <w:pPr>
        <w:rPr>
          <w:lang w:val="en-GB"/>
        </w:rPr>
      </w:pPr>
    </w:p>
    <w:p w14:paraId="3EE21F7D" w14:textId="392AB9DF" w:rsidR="0094019C" w:rsidRDefault="0094019C" w:rsidP="0094019C">
      <w:pPr>
        <w:spacing w:beforeLines="50" w:before="120" w:afterLines="50" w:after="120"/>
        <w:rPr>
          <w:rFonts w:cstheme="minorHAnsi"/>
          <w:b/>
          <w:sz w:val="20"/>
          <w:szCs w:val="20"/>
        </w:rPr>
      </w:pPr>
      <w:r>
        <w:rPr>
          <w:rFonts w:cstheme="minorHAnsi"/>
          <w:b/>
          <w:sz w:val="20"/>
          <w:szCs w:val="20"/>
        </w:rPr>
        <w:t>Proposal</w:t>
      </w:r>
      <w:r w:rsidRPr="00B04BDB">
        <w:rPr>
          <w:rFonts w:cstheme="minorHAnsi"/>
          <w:b/>
          <w:sz w:val="20"/>
          <w:szCs w:val="20"/>
        </w:rPr>
        <w:t xml:space="preserve"> </w:t>
      </w:r>
      <w:r w:rsidR="00F179A4">
        <w:rPr>
          <w:rFonts w:cstheme="minorHAnsi"/>
          <w:b/>
          <w:sz w:val="20"/>
          <w:szCs w:val="20"/>
        </w:rPr>
        <w:t>4</w:t>
      </w:r>
      <w:r w:rsidRPr="00B04BDB">
        <w:rPr>
          <w:rFonts w:cstheme="minorHAnsi"/>
          <w:b/>
          <w:sz w:val="20"/>
          <w:szCs w:val="20"/>
        </w:rPr>
        <w:t xml:space="preserve">: </w:t>
      </w:r>
      <w:r>
        <w:rPr>
          <w:rFonts w:cstheme="minorHAnsi"/>
          <w:b/>
          <w:sz w:val="20"/>
          <w:szCs w:val="20"/>
        </w:rPr>
        <w:t>The following agreement is only applicable to intra-frequency:</w:t>
      </w:r>
    </w:p>
    <w:p w14:paraId="571DBEBD" w14:textId="56839031" w:rsidR="0094019C" w:rsidRPr="0094019C" w:rsidRDefault="0094019C" w:rsidP="0094019C">
      <w:pPr>
        <w:pStyle w:val="ListParagraph"/>
        <w:numPr>
          <w:ilvl w:val="0"/>
          <w:numId w:val="51"/>
        </w:numPr>
        <w:spacing w:beforeLines="50" w:before="120" w:afterLines="50" w:after="120"/>
        <w:rPr>
          <w:rFonts w:cstheme="minorHAnsi"/>
          <w:b/>
          <w:sz w:val="20"/>
          <w:szCs w:val="20"/>
        </w:rPr>
      </w:pPr>
      <w:r>
        <w:rPr>
          <w:rFonts w:cstheme="minorHAnsi"/>
          <w:b/>
          <w:sz w:val="20"/>
          <w:szCs w:val="20"/>
        </w:rPr>
        <w:t>E</w:t>
      </w:r>
      <w:r w:rsidRPr="0094019C">
        <w:rPr>
          <w:rFonts w:cstheme="minorHAnsi"/>
          <w:b/>
          <w:sz w:val="20"/>
          <w:szCs w:val="20"/>
        </w:rPr>
        <w:t>xtend the condition for T</w:t>
      </w:r>
      <w:r w:rsidRPr="0094019C">
        <w:rPr>
          <w:rFonts w:cstheme="minorHAnsi"/>
          <w:b/>
          <w:sz w:val="20"/>
          <w:szCs w:val="20"/>
          <w:vertAlign w:val="subscript"/>
        </w:rPr>
        <w:t>first-RS</w:t>
      </w:r>
      <w:r w:rsidRPr="0094019C">
        <w:rPr>
          <w:rFonts w:cstheme="minorHAnsi"/>
          <w:b/>
          <w:sz w:val="20"/>
          <w:szCs w:val="20"/>
        </w:rPr>
        <w:t xml:space="preserve"> = 0 “the time gap between TCI state activation and the cell switch command is not more than 160 ms” to “480ms” in FR1 for UE not supporting/configured with L1 measurement</w:t>
      </w:r>
      <w:r>
        <w:rPr>
          <w:rFonts w:cstheme="minorHAnsi"/>
          <w:b/>
          <w:sz w:val="20"/>
          <w:szCs w:val="20"/>
        </w:rPr>
        <w:t>.</w:t>
      </w:r>
    </w:p>
    <w:p w14:paraId="0694A2F5" w14:textId="77777777" w:rsidR="00C40424" w:rsidRPr="001855E2" w:rsidRDefault="00C40424" w:rsidP="001855E2">
      <w:pPr>
        <w:rPr>
          <w:lang w:val="en-GB"/>
        </w:rPr>
      </w:pPr>
    </w:p>
    <w:bookmarkEnd w:id="1"/>
    <w:bookmarkEnd w:id="4"/>
    <w:p w14:paraId="1A0C3075" w14:textId="05FC05BD" w:rsidR="00541376" w:rsidRDefault="00541376" w:rsidP="00541376">
      <w:pPr>
        <w:pStyle w:val="Heading3"/>
        <w:rPr>
          <w:sz w:val="22"/>
          <w:szCs w:val="16"/>
        </w:rPr>
      </w:pPr>
      <w:r>
        <w:rPr>
          <w:sz w:val="22"/>
          <w:szCs w:val="16"/>
        </w:rPr>
        <w:t>2.2.</w:t>
      </w:r>
      <w:r w:rsidR="00CE6962">
        <w:rPr>
          <w:sz w:val="22"/>
          <w:szCs w:val="16"/>
        </w:rPr>
        <w:t>2</w:t>
      </w:r>
      <w:r>
        <w:rPr>
          <w:sz w:val="22"/>
          <w:szCs w:val="16"/>
        </w:rPr>
        <w:t xml:space="preserve">. </w:t>
      </w:r>
      <w:r w:rsidR="00B331FC">
        <w:rPr>
          <w:sz w:val="22"/>
          <w:szCs w:val="16"/>
        </w:rPr>
        <w:t xml:space="preserve">known TCI state definition for cell </w:t>
      </w:r>
      <w:proofErr w:type="gramStart"/>
      <w:r w:rsidR="00B331FC">
        <w:rPr>
          <w:sz w:val="22"/>
          <w:szCs w:val="16"/>
        </w:rPr>
        <w:t>switch</w:t>
      </w:r>
      <w:proofErr w:type="gramEnd"/>
    </w:p>
    <w:p w14:paraId="5D37EB7B" w14:textId="1A0BCBDD" w:rsidR="00B331FC" w:rsidRDefault="00B331FC" w:rsidP="00541376">
      <w:pPr>
        <w:spacing w:beforeLines="50" w:before="120" w:afterLines="50" w:after="120"/>
        <w:rPr>
          <w:sz w:val="20"/>
          <w:szCs w:val="20"/>
        </w:rPr>
      </w:pPr>
      <w:r>
        <w:rPr>
          <w:rFonts w:hint="eastAsia"/>
          <w:sz w:val="20"/>
          <w:szCs w:val="20"/>
        </w:rPr>
        <w:t>A</w:t>
      </w:r>
      <w:r>
        <w:rPr>
          <w:sz w:val="20"/>
          <w:szCs w:val="20"/>
        </w:rPr>
        <w:t>s shown below which is copied from the latest spec, there are still some open parts.</w:t>
      </w:r>
    </w:p>
    <w:tbl>
      <w:tblPr>
        <w:tblStyle w:val="TableGrid"/>
        <w:tblW w:w="0" w:type="auto"/>
        <w:tblLook w:val="04A0" w:firstRow="1" w:lastRow="0" w:firstColumn="1" w:lastColumn="0" w:noHBand="0" w:noVBand="1"/>
      </w:tblPr>
      <w:tblGrid>
        <w:gridCol w:w="9629"/>
      </w:tblGrid>
      <w:tr w:rsidR="00B331FC" w14:paraId="00DB4783" w14:textId="77777777" w:rsidTr="00B331FC">
        <w:tc>
          <w:tcPr>
            <w:tcW w:w="9629" w:type="dxa"/>
          </w:tcPr>
          <w:p w14:paraId="70A8F292" w14:textId="77777777" w:rsidR="00B331FC" w:rsidRPr="00B331FC" w:rsidRDefault="00B331FC" w:rsidP="00B331FC">
            <w:pPr>
              <w:widowControl/>
              <w:overflowPunct w:val="0"/>
              <w:autoSpaceDE w:val="0"/>
              <w:autoSpaceDN w:val="0"/>
              <w:adjustRightInd w:val="0"/>
              <w:spacing w:after="180"/>
              <w:textAlignment w:val="baseline"/>
              <w:rPr>
                <w:rFonts w:ascii="Times New Roman" w:eastAsia="Malgun Gothic" w:hAnsi="Times New Roman" w:cs="Times New Roman"/>
                <w:bCs/>
                <w:iCs/>
                <w:kern w:val="0"/>
                <w:sz w:val="16"/>
                <w:szCs w:val="16"/>
                <w:lang w:eastAsia="en-GB"/>
              </w:rPr>
            </w:pPr>
            <w:r w:rsidRPr="00B331FC">
              <w:rPr>
                <w:rFonts w:ascii="Times New Roman" w:eastAsia="Malgun Gothic" w:hAnsi="Times New Roman" w:cs="Times New Roman"/>
                <w:kern w:val="0"/>
                <w:sz w:val="16"/>
                <w:szCs w:val="16"/>
                <w:lang w:val="en-GB" w:eastAsia="en-GB"/>
              </w:rPr>
              <w:t>The target joint DL/UL TCI state or separate DL and UL TCI states in the LTM cell switch command are known if the following conditions are met:</w:t>
            </w:r>
          </w:p>
          <w:p w14:paraId="1C6EC45A" w14:textId="77777777" w:rsidR="00B331FC" w:rsidRPr="00B331FC" w:rsidRDefault="00B331FC" w:rsidP="00B331FC">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16"/>
                <w:szCs w:val="16"/>
                <w:highlight w:val="yellow"/>
                <w:lang w:eastAsia="en-GB"/>
              </w:rPr>
            </w:pPr>
            <w:r w:rsidRPr="00B331FC">
              <w:rPr>
                <w:rFonts w:ascii="Times New Roman" w:eastAsia="Malgun Gothic" w:hAnsi="Times New Roman" w:cs="Times New Roman"/>
                <w:kern w:val="0"/>
                <w:sz w:val="16"/>
                <w:szCs w:val="16"/>
                <w:highlight w:val="yellow"/>
                <w:lang w:eastAsia="en-GB"/>
              </w:rPr>
              <w:t>[-</w:t>
            </w:r>
            <w:r w:rsidRPr="00B331FC">
              <w:rPr>
                <w:rFonts w:ascii="Times New Roman" w:eastAsia="Malgun Gothic" w:hAnsi="Times New Roman" w:cs="Times New Roman"/>
                <w:kern w:val="0"/>
                <w:sz w:val="16"/>
                <w:szCs w:val="16"/>
                <w:highlight w:val="yellow"/>
                <w:lang w:eastAsia="en-GB"/>
              </w:rPr>
              <w:tab/>
            </w:r>
            <w:r w:rsidRPr="00B331FC">
              <w:rPr>
                <w:rFonts w:ascii="Times New Roman" w:eastAsia="Times New Roman" w:hAnsi="Times New Roman" w:cs="Times New Roman"/>
                <w:kern w:val="0"/>
                <w:sz w:val="16"/>
                <w:szCs w:val="21"/>
                <w:highlight w:val="yellow"/>
                <w:lang w:val="en-GB"/>
              </w:rPr>
              <w:t xml:space="preserve">The </w:t>
            </w:r>
            <w:r w:rsidRPr="00B331FC">
              <w:rPr>
                <w:rFonts w:ascii="Times New Roman" w:eastAsia="Times New Roman" w:hAnsi="Times New Roman" w:cs="Times New Roman"/>
                <w:bCs/>
                <w:iCs/>
                <w:kern w:val="0"/>
                <w:sz w:val="16"/>
                <w:szCs w:val="16"/>
                <w:highlight w:val="yellow"/>
                <w:lang w:eastAsia="en-GB"/>
              </w:rPr>
              <w:t xml:space="preserve">target </w:t>
            </w:r>
            <w:r w:rsidRPr="00B331FC">
              <w:rPr>
                <w:rFonts w:ascii="Times New Roman" w:eastAsia="Times New Roman" w:hAnsi="Times New Roman" w:cs="Times New Roman"/>
                <w:kern w:val="0"/>
                <w:sz w:val="16"/>
                <w:szCs w:val="21"/>
                <w:highlight w:val="yellow"/>
                <w:lang w:val="en-GB"/>
              </w:rPr>
              <w:t xml:space="preserve">TCI state in the cell switch command is activated not more than TBD ms before the reception of the cell switch command and </w:t>
            </w:r>
            <w:r w:rsidRPr="00B331FC">
              <w:rPr>
                <w:rFonts w:ascii="Times New Roman" w:eastAsia="Times New Roman" w:hAnsi="Times New Roman" w:cs="Times New Roman"/>
                <w:kern w:val="0"/>
                <w:sz w:val="16"/>
                <w:szCs w:val="16"/>
                <w:highlight w:val="yellow"/>
                <w:lang w:eastAsia="en-GB"/>
              </w:rPr>
              <w:t>SNR of the SSB associated to TCI state ≥ -3dB</w:t>
            </w:r>
            <w:r w:rsidRPr="00B331FC">
              <w:rPr>
                <w:rFonts w:ascii="Times New Roman" w:eastAsia="Times New Roman" w:hAnsi="Times New Roman" w:cs="Times New Roman"/>
                <w:kern w:val="0"/>
                <w:sz w:val="16"/>
                <w:szCs w:val="21"/>
                <w:highlight w:val="yellow"/>
                <w:lang w:val="en-GB"/>
              </w:rPr>
              <w:t>; or]</w:t>
            </w:r>
            <w:r w:rsidRPr="00B331FC">
              <w:rPr>
                <w:rFonts w:ascii="Times New Roman" w:eastAsia="Times New Roman" w:hAnsi="Times New Roman" w:cs="Times New Roman"/>
                <w:kern w:val="0"/>
                <w:sz w:val="16"/>
                <w:szCs w:val="16"/>
                <w:highlight w:val="yellow"/>
                <w:lang w:eastAsia="en-GB"/>
              </w:rPr>
              <w:t xml:space="preserve"> </w:t>
            </w:r>
          </w:p>
          <w:p w14:paraId="606F672B" w14:textId="77777777" w:rsidR="00B331FC" w:rsidRPr="00B331FC" w:rsidRDefault="00B331FC" w:rsidP="00B331FC">
            <w:pPr>
              <w:widowControl/>
              <w:overflowPunct w:val="0"/>
              <w:autoSpaceDE w:val="0"/>
              <w:autoSpaceDN w:val="0"/>
              <w:adjustRightInd w:val="0"/>
              <w:spacing w:after="180"/>
              <w:ind w:left="284"/>
              <w:textAlignment w:val="baseline"/>
              <w:rPr>
                <w:rFonts w:ascii="Times New Roman" w:eastAsia="Malgun Gothic" w:hAnsi="Times New Roman" w:cs="Times New Roman"/>
                <w:bCs/>
                <w:iCs/>
                <w:kern w:val="0"/>
                <w:sz w:val="16"/>
                <w:szCs w:val="16"/>
                <w:lang w:eastAsia="en-GB"/>
              </w:rPr>
            </w:pPr>
            <w:r w:rsidRPr="00B331FC">
              <w:rPr>
                <w:rFonts w:ascii="Times New Roman" w:eastAsia="Times New Roman" w:hAnsi="Times New Roman" w:cs="Times New Roman"/>
                <w:kern w:val="0"/>
                <w:sz w:val="16"/>
                <w:szCs w:val="16"/>
                <w:highlight w:val="yellow"/>
                <w:lang w:eastAsia="en-GB"/>
              </w:rPr>
              <w:t>[-</w:t>
            </w:r>
            <w:r w:rsidRPr="00B331FC">
              <w:rPr>
                <w:rFonts w:ascii="Times New Roman" w:eastAsia="Times New Roman" w:hAnsi="Times New Roman" w:cs="Times New Roman"/>
                <w:kern w:val="0"/>
                <w:sz w:val="16"/>
                <w:szCs w:val="16"/>
                <w:highlight w:val="yellow"/>
                <w:lang w:eastAsia="en-GB"/>
              </w:rPr>
              <w:tab/>
            </w:r>
            <w:r w:rsidRPr="00B331FC">
              <w:rPr>
                <w:rFonts w:ascii="Times New Roman" w:eastAsia="Times New Roman" w:hAnsi="Times New Roman" w:cs="Times New Roman"/>
                <w:kern w:val="0"/>
                <w:sz w:val="16"/>
                <w:szCs w:val="21"/>
                <w:highlight w:val="yellow"/>
                <w:lang w:val="en-GB"/>
              </w:rPr>
              <w:t xml:space="preserve">The </w:t>
            </w:r>
            <w:r w:rsidRPr="00B331FC">
              <w:rPr>
                <w:rFonts w:ascii="Times New Roman" w:eastAsia="Times New Roman" w:hAnsi="Times New Roman" w:cs="Times New Roman"/>
                <w:bCs/>
                <w:iCs/>
                <w:kern w:val="0"/>
                <w:sz w:val="16"/>
                <w:szCs w:val="16"/>
                <w:highlight w:val="yellow"/>
                <w:lang w:eastAsia="en-GB"/>
              </w:rPr>
              <w:t xml:space="preserve">target </w:t>
            </w:r>
            <w:r w:rsidRPr="00B331FC">
              <w:rPr>
                <w:rFonts w:ascii="Times New Roman" w:eastAsia="Times New Roman" w:hAnsi="Times New Roman" w:cs="Times New Roman"/>
                <w:kern w:val="0"/>
                <w:sz w:val="16"/>
                <w:szCs w:val="21"/>
                <w:highlight w:val="yellow"/>
                <w:lang w:val="en-GB"/>
              </w:rPr>
              <w:t xml:space="preserve">TCI state in cell switch command is activated before receiving the cell switch command and the SSB associated to target TCI state is available at least once every TBD ms after the TCI state activation command is received and </w:t>
            </w:r>
            <w:r w:rsidRPr="00B331FC">
              <w:rPr>
                <w:rFonts w:ascii="Times New Roman" w:eastAsia="Times New Roman" w:hAnsi="Times New Roman" w:cs="Times New Roman"/>
                <w:kern w:val="0"/>
                <w:sz w:val="16"/>
                <w:szCs w:val="16"/>
                <w:highlight w:val="yellow"/>
                <w:lang w:eastAsia="en-GB"/>
              </w:rPr>
              <w:t>SNR of the SSB associated to TCI state ≥ -3dB</w:t>
            </w:r>
            <w:r w:rsidRPr="00B331FC">
              <w:rPr>
                <w:rFonts w:ascii="Times New Roman" w:eastAsia="Times New Roman" w:hAnsi="Times New Roman" w:cs="Times New Roman"/>
                <w:kern w:val="0"/>
                <w:sz w:val="16"/>
                <w:szCs w:val="21"/>
                <w:highlight w:val="yellow"/>
                <w:lang w:val="en-GB"/>
              </w:rPr>
              <w:t>; or]</w:t>
            </w:r>
          </w:p>
          <w:p w14:paraId="2CD5B87C" w14:textId="77777777" w:rsidR="00B331FC" w:rsidRPr="00B331FC" w:rsidRDefault="00B331FC" w:rsidP="00B331FC">
            <w:pPr>
              <w:widowControl/>
              <w:overflowPunct w:val="0"/>
              <w:autoSpaceDE w:val="0"/>
              <w:autoSpaceDN w:val="0"/>
              <w:adjustRightInd w:val="0"/>
              <w:spacing w:after="180"/>
              <w:ind w:left="568" w:hanging="284"/>
              <w:textAlignment w:val="baseline"/>
              <w:rPr>
                <w:rFonts w:ascii="Times New Roman" w:eastAsia="Malgun Gothic" w:hAnsi="Times New Roman" w:cs="Times New Roman"/>
                <w:kern w:val="0"/>
                <w:sz w:val="16"/>
                <w:szCs w:val="16"/>
                <w:lang w:eastAsia="en-GB"/>
              </w:rPr>
            </w:pPr>
            <w:r w:rsidRPr="00B331FC">
              <w:rPr>
                <w:rFonts w:ascii="Times New Roman" w:eastAsia="Malgun Gothic" w:hAnsi="Times New Roman" w:cs="Times New Roman"/>
                <w:kern w:val="0"/>
                <w:sz w:val="16"/>
                <w:szCs w:val="16"/>
                <w:lang w:eastAsia="en-GB"/>
              </w:rPr>
              <w:t>-</w:t>
            </w:r>
            <w:r w:rsidRPr="00B331FC">
              <w:rPr>
                <w:rFonts w:ascii="Times New Roman" w:eastAsia="Malgun Gothic" w:hAnsi="Times New Roman" w:cs="Times New Roman"/>
                <w:kern w:val="0"/>
                <w:sz w:val="16"/>
                <w:szCs w:val="16"/>
                <w:lang w:eastAsia="en-GB"/>
              </w:rPr>
              <w:tab/>
              <w: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t>
            </w:r>
          </w:p>
          <w:p w14:paraId="1E133B0D" w14:textId="77777777" w:rsidR="00B331FC" w:rsidRPr="00B331FC" w:rsidRDefault="00B331FC" w:rsidP="00B331FC">
            <w:pPr>
              <w:widowControl/>
              <w:overflowPunct w:val="0"/>
              <w:autoSpaceDE w:val="0"/>
              <w:autoSpaceDN w:val="0"/>
              <w:adjustRightInd w:val="0"/>
              <w:spacing w:after="180"/>
              <w:ind w:left="851" w:hanging="284"/>
              <w:textAlignment w:val="baseline"/>
              <w:rPr>
                <w:rFonts w:ascii="Times New Roman" w:eastAsia="Malgun Gothic" w:hAnsi="Times New Roman" w:cs="Times New Roman"/>
                <w:kern w:val="0"/>
                <w:sz w:val="16"/>
                <w:szCs w:val="16"/>
                <w:lang w:eastAsia="en-GB"/>
              </w:rPr>
            </w:pPr>
            <w:r w:rsidRPr="00B331FC">
              <w:rPr>
                <w:rFonts w:ascii="Times New Roman" w:eastAsia="Malgun Gothic" w:hAnsi="Times New Roman" w:cs="Times New Roman"/>
                <w:kern w:val="0"/>
                <w:sz w:val="16"/>
                <w:szCs w:val="16"/>
                <w:lang w:eastAsia="en-GB"/>
              </w:rPr>
              <w:t>-</w:t>
            </w:r>
            <w:r w:rsidRPr="00B331FC">
              <w:rPr>
                <w:rFonts w:ascii="Times New Roman" w:eastAsia="Malgun Gothic" w:hAnsi="Times New Roman" w:cs="Times New Roman"/>
                <w:kern w:val="0"/>
                <w:sz w:val="16"/>
                <w:szCs w:val="16"/>
                <w:lang w:eastAsia="en-GB"/>
              </w:rPr>
              <w:tab/>
              <w:t xml:space="preserve">LTM cell switch command is received within 1280 ms upon the last transmission of the RS resource for beam reporting or measurement </w:t>
            </w:r>
          </w:p>
          <w:p w14:paraId="62CD1892" w14:textId="77777777" w:rsidR="00B331FC" w:rsidRPr="00B331FC" w:rsidRDefault="00B331FC" w:rsidP="00B331FC">
            <w:pPr>
              <w:widowControl/>
              <w:overflowPunct w:val="0"/>
              <w:autoSpaceDE w:val="0"/>
              <w:autoSpaceDN w:val="0"/>
              <w:adjustRightInd w:val="0"/>
              <w:spacing w:after="180"/>
              <w:ind w:left="851" w:hanging="284"/>
              <w:textAlignment w:val="baseline"/>
              <w:rPr>
                <w:rFonts w:ascii="Times New Roman" w:eastAsia="Malgun Gothic" w:hAnsi="Times New Roman" w:cs="Times New Roman"/>
                <w:kern w:val="0"/>
                <w:sz w:val="16"/>
                <w:szCs w:val="16"/>
                <w:lang w:eastAsia="en-GB"/>
              </w:rPr>
            </w:pPr>
            <w:r w:rsidRPr="00B331FC">
              <w:rPr>
                <w:rFonts w:ascii="Times New Roman" w:eastAsia="Malgun Gothic" w:hAnsi="Times New Roman" w:cs="Times New Roman"/>
                <w:kern w:val="0"/>
                <w:sz w:val="16"/>
                <w:szCs w:val="16"/>
                <w:lang w:eastAsia="en-GB"/>
              </w:rPr>
              <w:t>-</w:t>
            </w:r>
            <w:r w:rsidRPr="00B331FC">
              <w:rPr>
                <w:rFonts w:ascii="Times New Roman" w:eastAsia="Malgun Gothic" w:hAnsi="Times New Roman" w:cs="Times New Roman"/>
                <w:kern w:val="0"/>
                <w:sz w:val="16"/>
                <w:szCs w:val="16"/>
                <w:lang w:eastAsia="en-GB"/>
              </w:rPr>
              <w:tab/>
              <w:t>The UE has sent at least 1 L1-RSRP report for the target DL/UL TCI state before the LTM cell switch command</w:t>
            </w:r>
          </w:p>
          <w:p w14:paraId="71347160" w14:textId="77777777" w:rsidR="00B331FC" w:rsidRPr="00B331FC" w:rsidRDefault="00B331FC" w:rsidP="00B331FC">
            <w:pPr>
              <w:widowControl/>
              <w:overflowPunct w:val="0"/>
              <w:autoSpaceDE w:val="0"/>
              <w:autoSpaceDN w:val="0"/>
              <w:adjustRightInd w:val="0"/>
              <w:spacing w:after="180"/>
              <w:ind w:left="851" w:hanging="284"/>
              <w:textAlignment w:val="baseline"/>
              <w:rPr>
                <w:rFonts w:ascii="Times New Roman" w:eastAsia="Malgun Gothic" w:hAnsi="Times New Roman" w:cs="Times New Roman"/>
                <w:kern w:val="0"/>
                <w:sz w:val="16"/>
                <w:szCs w:val="16"/>
                <w:lang w:eastAsia="en-GB"/>
              </w:rPr>
            </w:pPr>
            <w:r w:rsidRPr="00B331FC">
              <w:rPr>
                <w:rFonts w:ascii="Times New Roman" w:eastAsia="Malgun Gothic" w:hAnsi="Times New Roman" w:cs="Times New Roman"/>
                <w:kern w:val="0"/>
                <w:sz w:val="16"/>
                <w:szCs w:val="16"/>
                <w:lang w:eastAsia="en-GB"/>
              </w:rPr>
              <w:t>-</w:t>
            </w:r>
            <w:r w:rsidRPr="00B331FC">
              <w:rPr>
                <w:rFonts w:ascii="Times New Roman" w:eastAsia="Malgun Gothic" w:hAnsi="Times New Roman" w:cs="Times New Roman"/>
                <w:kern w:val="0"/>
                <w:sz w:val="16"/>
                <w:szCs w:val="16"/>
                <w:lang w:eastAsia="en-GB"/>
              </w:rPr>
              <w:tab/>
              <w:t>The target DL/UL TCI state remains detectable during the LTM cell switching period</w:t>
            </w:r>
          </w:p>
          <w:p w14:paraId="03EE7600" w14:textId="77777777" w:rsidR="00B331FC" w:rsidRPr="00B331FC" w:rsidRDefault="00B331FC" w:rsidP="00B331FC">
            <w:pPr>
              <w:widowControl/>
              <w:overflowPunct w:val="0"/>
              <w:autoSpaceDE w:val="0"/>
              <w:autoSpaceDN w:val="0"/>
              <w:adjustRightInd w:val="0"/>
              <w:spacing w:after="180"/>
              <w:ind w:left="851" w:hanging="284"/>
              <w:textAlignment w:val="baseline"/>
              <w:rPr>
                <w:rFonts w:ascii="Times New Roman" w:eastAsia="Malgun Gothic" w:hAnsi="Times New Roman" w:cs="Times New Roman"/>
                <w:kern w:val="0"/>
                <w:sz w:val="16"/>
                <w:szCs w:val="16"/>
                <w:lang w:eastAsia="en-GB"/>
              </w:rPr>
            </w:pPr>
            <w:r w:rsidRPr="00B331FC">
              <w:rPr>
                <w:rFonts w:ascii="Times New Roman" w:eastAsia="Malgun Gothic" w:hAnsi="Times New Roman" w:cs="Times New Roman"/>
                <w:kern w:val="0"/>
                <w:sz w:val="16"/>
                <w:szCs w:val="16"/>
                <w:lang w:eastAsia="en-GB"/>
              </w:rPr>
              <w:t>-</w:t>
            </w:r>
            <w:r w:rsidRPr="00B331FC">
              <w:rPr>
                <w:rFonts w:ascii="Times New Roman" w:eastAsia="Malgun Gothic" w:hAnsi="Times New Roman" w:cs="Times New Roman"/>
                <w:kern w:val="0"/>
                <w:sz w:val="16"/>
                <w:szCs w:val="16"/>
                <w:lang w:eastAsia="en-GB"/>
              </w:rPr>
              <w:tab/>
              <w:t>The SSB associated with the target DL/UL TCI state remain detectable during the cell switching period</w:t>
            </w:r>
          </w:p>
          <w:p w14:paraId="6E3196DE" w14:textId="77777777" w:rsidR="00B331FC" w:rsidRPr="00B331FC" w:rsidRDefault="00B331FC" w:rsidP="00B331FC">
            <w:pPr>
              <w:widowControl/>
              <w:overflowPunct w:val="0"/>
              <w:autoSpaceDE w:val="0"/>
              <w:autoSpaceDN w:val="0"/>
              <w:adjustRightInd w:val="0"/>
              <w:spacing w:after="180"/>
              <w:ind w:left="1135" w:hanging="284"/>
              <w:textAlignment w:val="baseline"/>
              <w:rPr>
                <w:rFonts w:ascii="Times New Roman" w:eastAsia="Malgun Gothic" w:hAnsi="Times New Roman" w:cs="Times New Roman"/>
                <w:kern w:val="0"/>
                <w:sz w:val="16"/>
                <w:szCs w:val="16"/>
                <w:lang w:eastAsia="en-GB"/>
              </w:rPr>
            </w:pPr>
            <w:r w:rsidRPr="00B331FC">
              <w:rPr>
                <w:rFonts w:ascii="Times New Roman" w:eastAsia="Malgun Gothic" w:hAnsi="Times New Roman" w:cs="Times New Roman"/>
                <w:kern w:val="0"/>
                <w:sz w:val="16"/>
                <w:szCs w:val="16"/>
                <w:lang w:eastAsia="en-GB"/>
              </w:rPr>
              <w:t>-</w:t>
            </w:r>
            <w:r w:rsidRPr="00B331FC">
              <w:rPr>
                <w:rFonts w:ascii="Times New Roman" w:eastAsia="Malgun Gothic" w:hAnsi="Times New Roman" w:cs="Times New Roman"/>
                <w:kern w:val="0"/>
                <w:sz w:val="16"/>
                <w:szCs w:val="16"/>
                <w:lang w:eastAsia="en-GB"/>
              </w:rPr>
              <w:tab/>
              <w:t>SNR of the TCI state ≥ -3dB</w:t>
            </w:r>
          </w:p>
          <w:p w14:paraId="7FD74767" w14:textId="170941F1" w:rsidR="00B331FC" w:rsidRPr="00B331FC" w:rsidRDefault="00B331FC" w:rsidP="00B331FC">
            <w:pPr>
              <w:widowControl/>
              <w:overflowPunct w:val="0"/>
              <w:autoSpaceDE w:val="0"/>
              <w:autoSpaceDN w:val="0"/>
              <w:adjustRightInd w:val="0"/>
              <w:spacing w:after="180"/>
              <w:textAlignment w:val="baseline"/>
              <w:rPr>
                <w:rFonts w:ascii="Times New Roman" w:eastAsia="Malgun Gothic" w:hAnsi="Times New Roman" w:cs="Times New Roman"/>
                <w:kern w:val="0"/>
                <w:sz w:val="20"/>
                <w:szCs w:val="20"/>
                <w:lang w:val="en-GB" w:eastAsia="en-GB"/>
              </w:rPr>
            </w:pPr>
            <w:r w:rsidRPr="00B331FC">
              <w:rPr>
                <w:rFonts w:ascii="Times New Roman" w:eastAsia="Malgun Gothic" w:hAnsi="Times New Roman" w:cs="Times New Roman"/>
                <w:bCs/>
                <w:kern w:val="0"/>
                <w:sz w:val="16"/>
                <w:szCs w:val="16"/>
                <w:lang w:eastAsia="en-GB"/>
              </w:rPr>
              <w:t>Otherwise, the target joint DL/UL TCI state or separate DL and UL TCI state is unknown.</w:t>
            </w:r>
          </w:p>
        </w:tc>
      </w:tr>
    </w:tbl>
    <w:p w14:paraId="6088F73B" w14:textId="097D5863" w:rsidR="00481D81" w:rsidRDefault="00195712" w:rsidP="00A9266A">
      <w:pPr>
        <w:spacing w:beforeLines="50" w:before="120" w:afterLines="50" w:after="120"/>
        <w:rPr>
          <w:sz w:val="20"/>
          <w:szCs w:val="20"/>
        </w:rPr>
      </w:pPr>
      <w:r>
        <w:rPr>
          <w:rFonts w:hint="eastAsia"/>
          <w:sz w:val="20"/>
          <w:szCs w:val="20"/>
        </w:rPr>
        <w:t>I</w:t>
      </w:r>
      <w:r>
        <w:rPr>
          <w:sz w:val="20"/>
          <w:szCs w:val="20"/>
        </w:rPr>
        <w:t xml:space="preserve">n our understanding, the initial intention </w:t>
      </w:r>
      <w:r w:rsidR="00A9266A">
        <w:rPr>
          <w:sz w:val="20"/>
          <w:szCs w:val="20"/>
        </w:rPr>
        <w:t>of</w:t>
      </w:r>
      <w:r>
        <w:rPr>
          <w:sz w:val="20"/>
          <w:szCs w:val="20"/>
        </w:rPr>
        <w:t xml:space="preserve"> the yellow highlighted part is to support cell switch without L1 measurement report under some conditions. In the past meetings, RAN4 had agreed to support cell switch without L1 measurement report in FR1 with conditions. That is, the defined cell switch delay requirements are applicable to unknown TCI state if reported beam level L3 results in 5s in FR1. </w:t>
      </w:r>
      <w:r w:rsidR="00A9266A">
        <w:rPr>
          <w:sz w:val="20"/>
          <w:szCs w:val="20"/>
        </w:rPr>
        <w:t xml:space="preserve">In previous meetings, RAN4 also reached the consensus that </w:t>
      </w:r>
      <w:r w:rsidR="00A9266A" w:rsidRPr="00B04BDB">
        <w:rPr>
          <w:sz w:val="20"/>
          <w:szCs w:val="20"/>
        </w:rPr>
        <w:t>the RAN4 Rel-18 related LTM requirements are not applicable if L1 measurement of LTM candidate cell is not supported or configured</w:t>
      </w:r>
      <w:r w:rsidR="00A9266A">
        <w:rPr>
          <w:sz w:val="20"/>
          <w:szCs w:val="20"/>
        </w:rPr>
        <w:t xml:space="preserve"> in FR2</w:t>
      </w:r>
      <w:r w:rsidR="00A9266A" w:rsidRPr="00B04BDB">
        <w:rPr>
          <w:sz w:val="20"/>
          <w:szCs w:val="20"/>
        </w:rPr>
        <w:t xml:space="preserve">. </w:t>
      </w:r>
      <w:r w:rsidR="00481D81">
        <w:rPr>
          <w:sz w:val="20"/>
          <w:szCs w:val="20"/>
        </w:rPr>
        <w:t>With this understanding, the whole issue was already concluded, and therefore the yellow highlighted sentences are no longer needed.</w:t>
      </w:r>
    </w:p>
    <w:p w14:paraId="31F6AB7B" w14:textId="0BEB64DC" w:rsidR="00A9266A" w:rsidRPr="00B04BDB" w:rsidRDefault="00A9266A" w:rsidP="00A9266A">
      <w:pPr>
        <w:spacing w:beforeLines="50" w:before="120" w:afterLines="50" w:after="120"/>
        <w:rPr>
          <w:sz w:val="20"/>
          <w:szCs w:val="20"/>
        </w:rPr>
      </w:pPr>
      <w:r w:rsidRPr="00B04BDB">
        <w:rPr>
          <w:sz w:val="20"/>
          <w:szCs w:val="20"/>
        </w:rPr>
        <w:lastRenderedPageBreak/>
        <w:t xml:space="preserve">There was some proposal that L1 report may be not necessary for cell switch delay especially when TCI state is activated. One of the motivations comes that periodic L1 report leads to much overhead. As well known, R19 mobility is designing event triggered L1 report. In R18, aperiodic report can also be used to reduce report overhead. In our understanding, the intention of configuring L1 measurement is to switch to target cell’s best beam. If cell switch decision is made based on L3 report, we don’t see the necessary and the benefit to configure L1 measurement in FR2. </w:t>
      </w:r>
      <w:r>
        <w:rPr>
          <w:sz w:val="20"/>
          <w:szCs w:val="20"/>
        </w:rPr>
        <w:t xml:space="preserve">We are </w:t>
      </w:r>
      <w:bookmarkStart w:id="5" w:name="_Hlk181805443"/>
      <w:r>
        <w:rPr>
          <w:sz w:val="20"/>
          <w:szCs w:val="20"/>
        </w:rPr>
        <w:t xml:space="preserve">open to discuss how to optimize the </w:t>
      </w:r>
      <w:r w:rsidR="00683724">
        <w:rPr>
          <w:sz w:val="20"/>
          <w:szCs w:val="20"/>
        </w:rPr>
        <w:t>known TCI state definition in R19 considering L1 report can be triggered when leaving condition is met. In R18, we prefer not to do further optimization on known TCI state definition</w:t>
      </w:r>
      <w:r w:rsidRPr="00B04BDB">
        <w:rPr>
          <w:sz w:val="20"/>
          <w:szCs w:val="20"/>
        </w:rPr>
        <w:t>.</w:t>
      </w:r>
      <w:bookmarkEnd w:id="5"/>
      <w:r w:rsidRPr="00B04BDB">
        <w:rPr>
          <w:sz w:val="20"/>
          <w:szCs w:val="20"/>
        </w:rPr>
        <w:t xml:space="preserve"> </w:t>
      </w:r>
    </w:p>
    <w:p w14:paraId="47C17B7D" w14:textId="382B9546" w:rsidR="00683724" w:rsidRPr="00683724" w:rsidRDefault="00683724" w:rsidP="00A9266A">
      <w:pPr>
        <w:spacing w:beforeLines="50" w:before="120" w:afterLines="50" w:after="120"/>
        <w:rPr>
          <w:rFonts w:cstheme="minorHAnsi"/>
          <w:b/>
          <w:sz w:val="20"/>
          <w:szCs w:val="20"/>
        </w:rPr>
      </w:pPr>
      <w:r w:rsidRPr="00B04BDB">
        <w:rPr>
          <w:rFonts w:cstheme="minorHAnsi"/>
          <w:b/>
          <w:sz w:val="20"/>
          <w:szCs w:val="20"/>
        </w:rPr>
        <w:t xml:space="preserve">Proposal </w:t>
      </w:r>
      <w:r w:rsidR="00F179A4">
        <w:rPr>
          <w:rFonts w:cstheme="minorHAnsi"/>
          <w:b/>
          <w:sz w:val="20"/>
          <w:szCs w:val="20"/>
        </w:rPr>
        <w:t>5</w:t>
      </w:r>
      <w:r w:rsidRPr="00B04BDB">
        <w:rPr>
          <w:rFonts w:cstheme="minorHAnsi"/>
          <w:b/>
          <w:sz w:val="20"/>
          <w:szCs w:val="20"/>
        </w:rPr>
        <w:t xml:space="preserve">: </w:t>
      </w:r>
      <w:r>
        <w:rPr>
          <w:rFonts w:cstheme="minorHAnsi"/>
          <w:b/>
          <w:sz w:val="20"/>
          <w:szCs w:val="20"/>
        </w:rPr>
        <w:t>O</w:t>
      </w:r>
      <w:r w:rsidRPr="00683724">
        <w:rPr>
          <w:rFonts w:cstheme="minorHAnsi"/>
          <w:b/>
          <w:sz w:val="20"/>
          <w:szCs w:val="20"/>
        </w:rPr>
        <w:t xml:space="preserve">pen to discuss how to optimize the known TCI state definition in R19 considering L1 report can be triggered when leaving condition is met. </w:t>
      </w:r>
      <w:r>
        <w:rPr>
          <w:rFonts w:cstheme="minorHAnsi"/>
          <w:b/>
          <w:sz w:val="20"/>
          <w:szCs w:val="20"/>
        </w:rPr>
        <w:t>N</w:t>
      </w:r>
      <w:r w:rsidRPr="00683724">
        <w:rPr>
          <w:rFonts w:cstheme="minorHAnsi"/>
          <w:b/>
          <w:sz w:val="20"/>
          <w:szCs w:val="20"/>
        </w:rPr>
        <w:t>ot to further optimiz</w:t>
      </w:r>
      <w:r>
        <w:rPr>
          <w:rFonts w:cstheme="minorHAnsi"/>
          <w:b/>
          <w:sz w:val="20"/>
          <w:szCs w:val="20"/>
        </w:rPr>
        <w:t>e</w:t>
      </w:r>
      <w:r w:rsidRPr="00683724">
        <w:rPr>
          <w:rFonts w:cstheme="minorHAnsi"/>
          <w:b/>
          <w:sz w:val="20"/>
          <w:szCs w:val="20"/>
        </w:rPr>
        <w:t xml:space="preserve"> known TCI state definition</w:t>
      </w:r>
      <w:r>
        <w:rPr>
          <w:rFonts w:cstheme="minorHAnsi"/>
          <w:b/>
          <w:sz w:val="20"/>
          <w:szCs w:val="20"/>
        </w:rPr>
        <w:t xml:space="preserve"> in R18</w:t>
      </w:r>
      <w:r w:rsidRPr="00683724">
        <w:rPr>
          <w:rFonts w:cstheme="minorHAnsi"/>
          <w:b/>
          <w:sz w:val="20"/>
          <w:szCs w:val="20"/>
        </w:rPr>
        <w:t>.</w:t>
      </w:r>
    </w:p>
    <w:p w14:paraId="5F1D49A0" w14:textId="3F33097A" w:rsidR="00A9266A" w:rsidRDefault="00A9266A" w:rsidP="00A9266A">
      <w:pPr>
        <w:spacing w:beforeLines="50" w:before="120" w:afterLines="50" w:after="120"/>
        <w:rPr>
          <w:rFonts w:cstheme="minorHAnsi"/>
          <w:b/>
          <w:sz w:val="20"/>
          <w:szCs w:val="20"/>
        </w:rPr>
      </w:pPr>
      <w:r w:rsidRPr="00B04BDB">
        <w:rPr>
          <w:rFonts w:cstheme="minorHAnsi"/>
          <w:b/>
          <w:sz w:val="20"/>
          <w:szCs w:val="20"/>
        </w:rPr>
        <w:t xml:space="preserve">Proposal </w:t>
      </w:r>
      <w:r w:rsidR="00F179A4">
        <w:rPr>
          <w:rFonts w:cstheme="minorHAnsi"/>
          <w:b/>
          <w:sz w:val="20"/>
          <w:szCs w:val="20"/>
        </w:rPr>
        <w:t>6</w:t>
      </w:r>
      <w:r w:rsidRPr="00B04BDB">
        <w:rPr>
          <w:rFonts w:cstheme="minorHAnsi"/>
          <w:b/>
          <w:sz w:val="20"/>
          <w:szCs w:val="20"/>
        </w:rPr>
        <w:t>: Not to extend cell switch delay requirements to FR2 without L1 report</w:t>
      </w:r>
      <w:r>
        <w:rPr>
          <w:rFonts w:cstheme="minorHAnsi"/>
          <w:b/>
          <w:sz w:val="20"/>
          <w:szCs w:val="20"/>
        </w:rPr>
        <w:t xml:space="preserve"> and remove the following in known TCI state definition for cell switch:</w:t>
      </w:r>
    </w:p>
    <w:p w14:paraId="7C6B46A7" w14:textId="77777777" w:rsidR="00A9266A" w:rsidRPr="00B331FC" w:rsidRDefault="00A9266A" w:rsidP="00A9266A">
      <w:pPr>
        <w:widowControl/>
        <w:overflowPunct w:val="0"/>
        <w:autoSpaceDE w:val="0"/>
        <w:autoSpaceDN w:val="0"/>
        <w:adjustRightInd w:val="0"/>
        <w:spacing w:after="180"/>
        <w:ind w:left="568" w:hanging="284"/>
        <w:textAlignment w:val="baseline"/>
        <w:rPr>
          <w:rFonts w:cstheme="minorHAnsi"/>
          <w:b/>
          <w:sz w:val="20"/>
          <w:szCs w:val="20"/>
        </w:rPr>
      </w:pPr>
      <w:r w:rsidRPr="00B331FC">
        <w:rPr>
          <w:rFonts w:cstheme="minorHAnsi"/>
          <w:b/>
          <w:sz w:val="20"/>
          <w:szCs w:val="20"/>
        </w:rPr>
        <w:t>[-</w:t>
      </w:r>
      <w:r w:rsidRPr="00B331FC">
        <w:rPr>
          <w:rFonts w:cstheme="minorHAnsi"/>
          <w:b/>
          <w:sz w:val="20"/>
          <w:szCs w:val="20"/>
        </w:rPr>
        <w:tab/>
        <w:t xml:space="preserve">The target TCI state in the cell switch command is activated not more than TBD ms before the reception of the cell switch command and SNR of the SSB associated to TCI state ≥ -3dB; or] </w:t>
      </w:r>
    </w:p>
    <w:p w14:paraId="3A8266C9" w14:textId="77777777" w:rsidR="00A9266A" w:rsidRPr="00B331FC" w:rsidRDefault="00A9266A" w:rsidP="00A9266A">
      <w:pPr>
        <w:widowControl/>
        <w:overflowPunct w:val="0"/>
        <w:autoSpaceDE w:val="0"/>
        <w:autoSpaceDN w:val="0"/>
        <w:adjustRightInd w:val="0"/>
        <w:spacing w:after="180"/>
        <w:ind w:left="284"/>
        <w:textAlignment w:val="baseline"/>
        <w:rPr>
          <w:rFonts w:cstheme="minorHAnsi"/>
          <w:b/>
          <w:sz w:val="20"/>
          <w:szCs w:val="20"/>
        </w:rPr>
      </w:pPr>
      <w:r w:rsidRPr="00B331FC">
        <w:rPr>
          <w:rFonts w:cstheme="minorHAnsi"/>
          <w:b/>
          <w:sz w:val="20"/>
          <w:szCs w:val="20"/>
        </w:rPr>
        <w:t>[-</w:t>
      </w:r>
      <w:r w:rsidRPr="00B331FC">
        <w:rPr>
          <w:rFonts w:cstheme="minorHAnsi"/>
          <w:b/>
          <w:sz w:val="20"/>
          <w:szCs w:val="20"/>
        </w:rPr>
        <w:tab/>
        <w:t>The target TCI state in cell switch command is activated before receiving the cell switch command and the SSB associated to target TCI state is available at least once every TBD ms after the TCI state activation command is received and SNR of the SSB associated to TCI state ≥ -3dB; or]</w:t>
      </w:r>
    </w:p>
    <w:p w14:paraId="21AD5422" w14:textId="07D40912" w:rsidR="00B04BDB" w:rsidRPr="00090E81" w:rsidRDefault="00B04BDB" w:rsidP="00C15218">
      <w:pPr>
        <w:spacing w:beforeLines="50" w:before="120" w:afterLines="50" w:after="120"/>
        <w:rPr>
          <w:rFonts w:cstheme="minorHAnsi"/>
          <w:b/>
          <w:sz w:val="20"/>
          <w:szCs w:val="20"/>
        </w:rPr>
      </w:pPr>
      <w:bookmarkStart w:id="6" w:name="_Hlk173934615"/>
    </w:p>
    <w:bookmarkEnd w:id="6"/>
    <w:p w14:paraId="28B4998E" w14:textId="751D2598" w:rsidR="00645F30" w:rsidRDefault="00645F30" w:rsidP="00645F30">
      <w:pPr>
        <w:pStyle w:val="Heading3"/>
        <w:rPr>
          <w:sz w:val="22"/>
          <w:szCs w:val="16"/>
        </w:rPr>
      </w:pPr>
      <w:r>
        <w:rPr>
          <w:sz w:val="22"/>
          <w:szCs w:val="16"/>
        </w:rPr>
        <w:t>2.</w:t>
      </w:r>
      <w:r w:rsidR="00380107">
        <w:rPr>
          <w:sz w:val="22"/>
          <w:szCs w:val="16"/>
        </w:rPr>
        <w:t>2</w:t>
      </w:r>
      <w:r>
        <w:rPr>
          <w:sz w:val="22"/>
          <w:szCs w:val="16"/>
        </w:rPr>
        <w:t>.</w:t>
      </w:r>
      <w:r w:rsidR="00556FDD">
        <w:rPr>
          <w:sz w:val="22"/>
          <w:szCs w:val="16"/>
        </w:rPr>
        <w:t>3</w:t>
      </w:r>
      <w:r>
        <w:rPr>
          <w:sz w:val="22"/>
          <w:szCs w:val="16"/>
        </w:rPr>
        <w:t xml:space="preserve">. Conditions </w:t>
      </w:r>
      <w:r w:rsidRPr="00645F30">
        <w:rPr>
          <w:sz w:val="22"/>
          <w:szCs w:val="16"/>
        </w:rPr>
        <w:t xml:space="preserve">for early ASN.1 decoding and validity </w:t>
      </w:r>
      <w:proofErr w:type="gramStart"/>
      <w:r w:rsidRPr="00645F30">
        <w:rPr>
          <w:sz w:val="22"/>
          <w:szCs w:val="16"/>
        </w:rPr>
        <w:t>check</w:t>
      </w:r>
      <w:proofErr w:type="gramEnd"/>
    </w:p>
    <w:p w14:paraId="672E4171" w14:textId="77777777" w:rsidR="00F35CEA" w:rsidRDefault="00F35CEA" w:rsidP="00F556E4">
      <w:pPr>
        <w:rPr>
          <w:sz w:val="20"/>
          <w:szCs w:val="20"/>
        </w:rPr>
      </w:pPr>
    </w:p>
    <w:tbl>
      <w:tblPr>
        <w:tblStyle w:val="TableGrid"/>
        <w:tblW w:w="0" w:type="auto"/>
        <w:tblLook w:val="04A0" w:firstRow="1" w:lastRow="0" w:firstColumn="1" w:lastColumn="0" w:noHBand="0" w:noVBand="1"/>
      </w:tblPr>
      <w:tblGrid>
        <w:gridCol w:w="9629"/>
      </w:tblGrid>
      <w:tr w:rsidR="00F35CEA" w14:paraId="3762717A" w14:textId="77777777" w:rsidTr="00F35CEA">
        <w:tc>
          <w:tcPr>
            <w:tcW w:w="9629" w:type="dxa"/>
          </w:tcPr>
          <w:p w14:paraId="56A81A54" w14:textId="77777777" w:rsidR="00F35CEA" w:rsidRPr="005372F1" w:rsidRDefault="00F35CEA" w:rsidP="00F35CEA">
            <w:pPr>
              <w:rPr>
                <w:b/>
                <w:sz w:val="18"/>
                <w:szCs w:val="20"/>
                <w:u w:val="single"/>
                <w:lang w:eastAsia="en-US"/>
              </w:rPr>
            </w:pPr>
            <w:r w:rsidRPr="005372F1">
              <w:rPr>
                <w:b/>
                <w:sz w:val="18"/>
                <w:szCs w:val="20"/>
                <w:u w:val="single"/>
                <w:lang w:eastAsia="ko-KR"/>
              </w:rPr>
              <w:t xml:space="preserve">Issue 1-4-3-1: Which cell(s) </w:t>
            </w:r>
            <w:r w:rsidRPr="005372F1">
              <w:rPr>
                <w:b/>
                <w:sz w:val="18"/>
                <w:szCs w:val="20"/>
                <w:u w:val="single"/>
              </w:rPr>
              <w:t>T</w:t>
            </w:r>
            <w:r w:rsidRPr="005372F1">
              <w:rPr>
                <w:b/>
                <w:sz w:val="18"/>
                <w:szCs w:val="20"/>
                <w:u w:val="single"/>
                <w:vertAlign w:val="subscript"/>
              </w:rPr>
              <w:t>LTM-RRC-processing</w:t>
            </w:r>
            <w:r w:rsidRPr="005372F1">
              <w:rPr>
                <w:b/>
                <w:sz w:val="18"/>
                <w:szCs w:val="20"/>
                <w:u w:val="single"/>
              </w:rPr>
              <w:t xml:space="preserve"> = 0 apply to when candidate cells configured are more than UE capability?</w:t>
            </w:r>
          </w:p>
          <w:p w14:paraId="0A06ED86" w14:textId="77777777" w:rsidR="00F35CEA" w:rsidRPr="005372F1" w:rsidRDefault="00F35CEA" w:rsidP="00F35CEA">
            <w:pPr>
              <w:spacing w:beforeLines="50" w:before="120" w:afterLines="50" w:after="120"/>
              <w:rPr>
                <w:i/>
                <w:iCs/>
                <w:color w:val="0070C0"/>
                <w:sz w:val="15"/>
                <w:szCs w:val="15"/>
              </w:rPr>
            </w:pPr>
            <w:r w:rsidRPr="005372F1">
              <w:rPr>
                <w:i/>
                <w:iCs/>
                <w:color w:val="0070C0"/>
                <w:sz w:val="15"/>
                <w:szCs w:val="15"/>
              </w:rPr>
              <w:t>Online agreement</w:t>
            </w:r>
          </w:p>
          <w:p w14:paraId="46D2DB76" w14:textId="77777777" w:rsidR="00F35CEA" w:rsidRPr="005372F1" w:rsidRDefault="00F35CEA" w:rsidP="00F35CEA">
            <w:pPr>
              <w:rPr>
                <w:sz w:val="18"/>
                <w:szCs w:val="20"/>
                <w:lang w:eastAsia="en-US"/>
              </w:rPr>
            </w:pPr>
            <w:r w:rsidRPr="005372F1">
              <w:rPr>
                <w:rFonts w:eastAsia="宋体"/>
                <w:b/>
                <w:bCs/>
                <w:sz w:val="18"/>
                <w:szCs w:val="20"/>
              </w:rPr>
              <w:t>&lt;</w:t>
            </w:r>
            <w:r w:rsidRPr="005372F1">
              <w:rPr>
                <w:b/>
                <w:sz w:val="18"/>
                <w:szCs w:val="20"/>
              </w:rPr>
              <w:t>Agreement</w:t>
            </w:r>
            <w:r w:rsidRPr="005372F1">
              <w:rPr>
                <w:rFonts w:eastAsia="宋体"/>
                <w:b/>
                <w:bCs/>
                <w:sz w:val="18"/>
                <w:szCs w:val="20"/>
              </w:rPr>
              <w:t>&gt;:</w:t>
            </w:r>
          </w:p>
          <w:p w14:paraId="223A1709" w14:textId="77777777" w:rsidR="00F35CEA" w:rsidRPr="005372F1" w:rsidRDefault="00F35CEA" w:rsidP="005372F1">
            <w:pPr>
              <w:widowControl/>
              <w:numPr>
                <w:ilvl w:val="1"/>
                <w:numId w:val="7"/>
              </w:numPr>
              <w:overflowPunct w:val="0"/>
              <w:autoSpaceDE w:val="0"/>
              <w:autoSpaceDN w:val="0"/>
              <w:adjustRightInd w:val="0"/>
              <w:snapToGrid w:val="0"/>
              <w:spacing w:after="120"/>
              <w:textAlignment w:val="baseline"/>
              <w:rPr>
                <w:rFonts w:eastAsia="等线"/>
                <w:bCs/>
                <w:sz w:val="18"/>
                <w:szCs w:val="20"/>
              </w:rPr>
            </w:pPr>
            <w:r w:rsidRPr="005372F1">
              <w:rPr>
                <w:rFonts w:eastAsia="等线"/>
                <w:bCs/>
                <w:sz w:val="18"/>
                <w:szCs w:val="20"/>
              </w:rPr>
              <w:t xml:space="preserve">If the total number of cells to be fast RRC decoded does not exceed UE capability </w:t>
            </w:r>
            <w:r w:rsidRPr="005372F1">
              <w:rPr>
                <w:rFonts w:eastAsia="等线"/>
                <w:i/>
                <w:iCs/>
                <w:sz w:val="18"/>
                <w:szCs w:val="20"/>
              </w:rPr>
              <w:t>maxNumberStoredConfigCells-r18</w:t>
            </w:r>
            <w:r w:rsidRPr="005372F1">
              <w:rPr>
                <w:rFonts w:eastAsia="等线"/>
                <w:sz w:val="18"/>
                <w:szCs w:val="20"/>
              </w:rPr>
              <w:t xml:space="preserve"> and the number of</w:t>
            </w:r>
            <w:r w:rsidRPr="005372F1">
              <w:rPr>
                <w:rFonts w:eastAsia="等线"/>
                <w:i/>
                <w:iCs/>
                <w:sz w:val="18"/>
                <w:szCs w:val="20"/>
              </w:rPr>
              <w:t xml:space="preserve"> LTMCandidateConfigs</w:t>
            </w:r>
            <w:r w:rsidRPr="005372F1">
              <w:rPr>
                <w:rFonts w:eastAsia="等线"/>
                <w:sz w:val="18"/>
                <w:szCs w:val="20"/>
              </w:rPr>
              <w:t xml:space="preserve"> fast decoded does not exceed </w:t>
            </w:r>
            <w:r w:rsidRPr="005372F1">
              <w:rPr>
                <w:rFonts w:eastAsia="等线"/>
                <w:i/>
                <w:iCs/>
                <w:sz w:val="18"/>
                <w:szCs w:val="20"/>
              </w:rPr>
              <w:t>maxNumberConfigs-r18</w:t>
            </w:r>
            <w:r w:rsidRPr="005372F1">
              <w:rPr>
                <w:rFonts w:eastAsia="等线"/>
                <w:bCs/>
                <w:sz w:val="18"/>
                <w:szCs w:val="20"/>
              </w:rPr>
              <w:t>, T</w:t>
            </w:r>
            <w:r w:rsidRPr="005372F1">
              <w:rPr>
                <w:rFonts w:eastAsia="等线"/>
                <w:bCs/>
                <w:sz w:val="18"/>
                <w:szCs w:val="20"/>
                <w:vertAlign w:val="subscript"/>
              </w:rPr>
              <w:t>LTM_RRC-processing</w:t>
            </w:r>
            <w:r w:rsidRPr="005372F1">
              <w:rPr>
                <w:rFonts w:eastAsia="等线"/>
                <w:bCs/>
                <w:sz w:val="18"/>
                <w:szCs w:val="20"/>
              </w:rPr>
              <w:t xml:space="preserve"> =0 applies to the </w:t>
            </w:r>
            <w:r w:rsidRPr="005372F1">
              <w:rPr>
                <w:rFonts w:eastAsia="等线"/>
                <w:sz w:val="18"/>
                <w:szCs w:val="20"/>
              </w:rPr>
              <w:t>LTM candidates</w:t>
            </w:r>
            <w:r w:rsidRPr="005372F1">
              <w:rPr>
                <w:rFonts w:eastAsia="等线"/>
                <w:bCs/>
                <w:sz w:val="18"/>
                <w:szCs w:val="20"/>
              </w:rPr>
              <w:t xml:space="preserve"> with early TCI activation or early PDCCH order RACH, </w:t>
            </w:r>
          </w:p>
          <w:p w14:paraId="29926D97" w14:textId="77777777" w:rsidR="00F35CEA" w:rsidRPr="005372F1" w:rsidRDefault="00F35CEA" w:rsidP="005372F1">
            <w:pPr>
              <w:widowControl/>
              <w:numPr>
                <w:ilvl w:val="1"/>
                <w:numId w:val="7"/>
              </w:numPr>
              <w:overflowPunct w:val="0"/>
              <w:autoSpaceDE w:val="0"/>
              <w:autoSpaceDN w:val="0"/>
              <w:adjustRightInd w:val="0"/>
              <w:snapToGrid w:val="0"/>
              <w:spacing w:after="120"/>
              <w:textAlignment w:val="baseline"/>
              <w:rPr>
                <w:rFonts w:eastAsia="等线"/>
                <w:i/>
                <w:iCs/>
                <w:sz w:val="18"/>
                <w:szCs w:val="20"/>
              </w:rPr>
            </w:pPr>
            <w:r w:rsidRPr="005372F1">
              <w:rPr>
                <w:rFonts w:eastAsia="等线"/>
                <w:sz w:val="18"/>
                <w:szCs w:val="20"/>
              </w:rPr>
              <w:t>Further discuss:</w:t>
            </w:r>
          </w:p>
          <w:p w14:paraId="718311F8" w14:textId="77777777" w:rsidR="00F35CEA" w:rsidRPr="005372F1" w:rsidRDefault="00F35CEA" w:rsidP="005372F1">
            <w:pPr>
              <w:widowControl/>
              <w:numPr>
                <w:ilvl w:val="2"/>
                <w:numId w:val="7"/>
              </w:numPr>
              <w:overflowPunct w:val="0"/>
              <w:autoSpaceDE w:val="0"/>
              <w:autoSpaceDN w:val="0"/>
              <w:adjustRightInd w:val="0"/>
              <w:snapToGrid w:val="0"/>
              <w:spacing w:after="120"/>
              <w:textAlignment w:val="baseline"/>
              <w:rPr>
                <w:rFonts w:eastAsia="等线"/>
                <w:i/>
                <w:iCs/>
                <w:sz w:val="18"/>
                <w:szCs w:val="20"/>
              </w:rPr>
            </w:pPr>
            <w:r w:rsidRPr="005372F1">
              <w:rPr>
                <w:rFonts w:eastAsia="等线"/>
                <w:sz w:val="18"/>
                <w:szCs w:val="20"/>
              </w:rPr>
              <w:t xml:space="preserve">FFS: Otherwise, </w:t>
            </w:r>
            <w:r w:rsidRPr="005372F1">
              <w:rPr>
                <w:rFonts w:eastAsia="等线"/>
                <w:bCs/>
                <w:sz w:val="18"/>
                <w:szCs w:val="20"/>
              </w:rPr>
              <w:t>T</w:t>
            </w:r>
            <w:r w:rsidRPr="005372F1">
              <w:rPr>
                <w:rFonts w:eastAsia="等线"/>
                <w:bCs/>
                <w:sz w:val="18"/>
                <w:szCs w:val="20"/>
                <w:vertAlign w:val="subscript"/>
              </w:rPr>
              <w:t>LTM_RRC-processing</w:t>
            </w:r>
            <w:r w:rsidRPr="005372F1">
              <w:rPr>
                <w:rFonts w:eastAsia="等线"/>
                <w:bCs/>
                <w:sz w:val="18"/>
                <w:szCs w:val="20"/>
              </w:rPr>
              <w:t xml:space="preserve"> =0 applies to the </w:t>
            </w:r>
            <w:r w:rsidRPr="005372F1">
              <w:rPr>
                <w:rFonts w:eastAsia="等线"/>
                <w:sz w:val="18"/>
                <w:szCs w:val="20"/>
              </w:rPr>
              <w:t xml:space="preserve">LTM candidates with the most recently activated TCI states </w:t>
            </w:r>
            <w:r w:rsidRPr="005372F1">
              <w:rPr>
                <w:rFonts w:eastAsia="等线"/>
                <w:color w:val="FF0000"/>
                <w:sz w:val="18"/>
                <w:szCs w:val="20"/>
                <w:u w:val="single"/>
              </w:rPr>
              <w:t>(if any)</w:t>
            </w:r>
            <w:r w:rsidRPr="005372F1">
              <w:rPr>
                <w:rFonts w:eastAsia="等线"/>
                <w:sz w:val="18"/>
                <w:szCs w:val="20"/>
              </w:rPr>
              <w:t xml:space="preserve"> [</w:t>
            </w:r>
            <w:r w:rsidRPr="005372F1">
              <w:rPr>
                <w:rFonts w:eastAsia="等线"/>
                <w:color w:val="FF0000"/>
                <w:sz w:val="18"/>
                <w:szCs w:val="20"/>
              </w:rPr>
              <w:t xml:space="preserve">and/or] </w:t>
            </w:r>
            <w:r w:rsidRPr="005372F1">
              <w:rPr>
                <w:rFonts w:eastAsia="等线"/>
                <w:sz w:val="18"/>
                <w:szCs w:val="20"/>
              </w:rPr>
              <w:t xml:space="preserve">PDCCH-order PRACH transmission </w:t>
            </w:r>
            <w:r w:rsidRPr="005372F1">
              <w:rPr>
                <w:rFonts w:eastAsia="等线"/>
                <w:color w:val="FF0000"/>
                <w:sz w:val="18"/>
                <w:szCs w:val="20"/>
                <w:u w:val="single"/>
              </w:rPr>
              <w:t xml:space="preserve">(if any) </w:t>
            </w:r>
            <w:r w:rsidRPr="005372F1">
              <w:rPr>
                <w:rFonts w:eastAsia="等线"/>
                <w:sz w:val="18"/>
                <w:szCs w:val="20"/>
              </w:rPr>
              <w:t xml:space="preserve">within UE capability </w:t>
            </w:r>
            <w:r w:rsidRPr="005372F1">
              <w:rPr>
                <w:rFonts w:eastAsia="等线"/>
                <w:i/>
                <w:iCs/>
                <w:sz w:val="18"/>
                <w:szCs w:val="20"/>
              </w:rPr>
              <w:t>maxNumberStoredConfigCells-r18</w:t>
            </w:r>
            <w:r w:rsidRPr="005372F1">
              <w:rPr>
                <w:rFonts w:eastAsia="等线"/>
                <w:sz w:val="18"/>
                <w:szCs w:val="20"/>
              </w:rPr>
              <w:t xml:space="preserve"> and </w:t>
            </w:r>
            <w:r w:rsidRPr="005372F1">
              <w:rPr>
                <w:rFonts w:eastAsia="等线"/>
                <w:i/>
                <w:iCs/>
                <w:sz w:val="18"/>
                <w:szCs w:val="20"/>
              </w:rPr>
              <w:t>maxNumberConfigs-r18.</w:t>
            </w:r>
          </w:p>
          <w:p w14:paraId="4C55484F" w14:textId="77777777" w:rsidR="00F35CEA" w:rsidRPr="005372F1" w:rsidRDefault="00F35CEA" w:rsidP="005372F1">
            <w:pPr>
              <w:widowControl/>
              <w:numPr>
                <w:ilvl w:val="3"/>
                <w:numId w:val="7"/>
              </w:numPr>
              <w:snapToGrid w:val="0"/>
              <w:spacing w:after="120"/>
              <w:rPr>
                <w:rFonts w:eastAsia="等线"/>
                <w:sz w:val="18"/>
                <w:szCs w:val="20"/>
              </w:rPr>
            </w:pPr>
            <w:r w:rsidRPr="005372F1">
              <w:rPr>
                <w:rFonts w:eastAsia="等线"/>
                <w:sz w:val="18"/>
                <w:szCs w:val="20"/>
              </w:rPr>
              <w:t>FFS: This is at least applicable to the case that NW does not trigger TCI state activation or PDCCH-order RACH on different candidate cells at the same occasion.</w:t>
            </w:r>
          </w:p>
          <w:p w14:paraId="6A64C83B" w14:textId="2D38DF1B" w:rsidR="00F35CEA" w:rsidRPr="00F35CEA" w:rsidRDefault="00F35CEA" w:rsidP="005372F1">
            <w:pPr>
              <w:widowControl/>
              <w:numPr>
                <w:ilvl w:val="3"/>
                <w:numId w:val="7"/>
              </w:numPr>
              <w:snapToGrid w:val="0"/>
              <w:spacing w:after="120"/>
              <w:rPr>
                <w:rFonts w:eastAsia="等线"/>
                <w:sz w:val="20"/>
                <w:szCs w:val="21"/>
              </w:rPr>
            </w:pPr>
            <w:r w:rsidRPr="005372F1">
              <w:rPr>
                <w:rFonts w:eastAsia="等线"/>
                <w:sz w:val="18"/>
                <w:szCs w:val="20"/>
              </w:rPr>
              <w:t>FFS: Whether to support and further optimize the case that NW triggers TCI state activation or PDCCH-order RACH on different candidate cells at the same occasion.</w:t>
            </w:r>
          </w:p>
        </w:tc>
      </w:tr>
    </w:tbl>
    <w:p w14:paraId="50FE6092" w14:textId="77777777" w:rsidR="00F35CEA" w:rsidRDefault="00F35CEA" w:rsidP="00F556E4">
      <w:pPr>
        <w:rPr>
          <w:sz w:val="20"/>
          <w:szCs w:val="20"/>
        </w:rPr>
      </w:pPr>
    </w:p>
    <w:p w14:paraId="7D81C693" w14:textId="24F66973" w:rsidR="004C4471" w:rsidRDefault="009702F5" w:rsidP="00923DE1">
      <w:pPr>
        <w:rPr>
          <w:sz w:val="20"/>
          <w:szCs w:val="20"/>
        </w:rPr>
      </w:pPr>
      <w:r w:rsidRPr="00B04BDB">
        <w:rPr>
          <w:sz w:val="20"/>
          <w:szCs w:val="20"/>
        </w:rPr>
        <w:t>In previous</w:t>
      </w:r>
      <w:r w:rsidR="009A7669" w:rsidRPr="00B04BDB">
        <w:rPr>
          <w:sz w:val="20"/>
          <w:szCs w:val="20"/>
        </w:rPr>
        <w:t xml:space="preserve"> meeting</w:t>
      </w:r>
      <w:r w:rsidRPr="00B04BDB">
        <w:rPr>
          <w:sz w:val="20"/>
          <w:szCs w:val="20"/>
        </w:rPr>
        <w:t>s</w:t>
      </w:r>
      <w:r w:rsidR="009A7669" w:rsidRPr="00B04BDB">
        <w:rPr>
          <w:sz w:val="20"/>
          <w:szCs w:val="20"/>
        </w:rPr>
        <w:t xml:space="preserve">, RAN4 </w:t>
      </w:r>
      <w:r w:rsidRPr="00B04BDB">
        <w:rPr>
          <w:sz w:val="20"/>
          <w:szCs w:val="20"/>
        </w:rPr>
        <w:t>agreed that both early TCI state activation command and PDCCH-order can be used to trigger early RRC decoding and validity check</w:t>
      </w:r>
      <w:r w:rsidR="009A7669" w:rsidRPr="00B04BDB">
        <w:rPr>
          <w:sz w:val="20"/>
          <w:szCs w:val="20"/>
        </w:rPr>
        <w:t xml:space="preserve">. </w:t>
      </w:r>
      <w:r w:rsidR="005372F1">
        <w:rPr>
          <w:sz w:val="20"/>
          <w:szCs w:val="20"/>
        </w:rPr>
        <w:t>In RAN4#112, RAN4 further agreed that</w:t>
      </w:r>
      <w:r w:rsidR="005372F1" w:rsidRPr="005372F1">
        <w:rPr>
          <w:sz w:val="20"/>
          <w:szCs w:val="20"/>
        </w:rPr>
        <w:t xml:space="preserve"> “</w:t>
      </w:r>
      <w:r w:rsidR="005372F1" w:rsidRPr="005372F1">
        <w:rPr>
          <w:rFonts w:eastAsia="等线"/>
          <w:bCs/>
          <w:sz w:val="20"/>
          <w:szCs w:val="20"/>
        </w:rPr>
        <w:t xml:space="preserve">If the total number of cells to be fast RRC decoded does not exceed UE capability </w:t>
      </w:r>
      <w:r w:rsidR="005372F1" w:rsidRPr="005372F1">
        <w:rPr>
          <w:rFonts w:eastAsia="等线"/>
          <w:i/>
          <w:iCs/>
          <w:sz w:val="20"/>
          <w:szCs w:val="20"/>
        </w:rPr>
        <w:t>maxNumberStoredConfigCells-r18</w:t>
      </w:r>
      <w:r w:rsidR="005372F1" w:rsidRPr="005372F1">
        <w:rPr>
          <w:rFonts w:eastAsia="等线"/>
          <w:sz w:val="20"/>
          <w:szCs w:val="20"/>
        </w:rPr>
        <w:t xml:space="preserve"> and the number of</w:t>
      </w:r>
      <w:r w:rsidR="005372F1" w:rsidRPr="005372F1">
        <w:rPr>
          <w:rFonts w:eastAsia="等线"/>
          <w:i/>
          <w:iCs/>
          <w:sz w:val="20"/>
          <w:szCs w:val="20"/>
        </w:rPr>
        <w:t xml:space="preserve"> LTMCandidateConfigs</w:t>
      </w:r>
      <w:r w:rsidR="005372F1" w:rsidRPr="005372F1">
        <w:rPr>
          <w:rFonts w:eastAsia="等线"/>
          <w:sz w:val="20"/>
          <w:szCs w:val="20"/>
        </w:rPr>
        <w:t xml:space="preserve"> fast decoded does not exceed </w:t>
      </w:r>
      <w:r w:rsidR="005372F1" w:rsidRPr="005372F1">
        <w:rPr>
          <w:rFonts w:eastAsia="等线"/>
          <w:i/>
          <w:iCs/>
          <w:sz w:val="20"/>
          <w:szCs w:val="20"/>
        </w:rPr>
        <w:t>maxNumberConfigs-r18</w:t>
      </w:r>
      <w:r w:rsidR="005372F1" w:rsidRPr="005372F1">
        <w:rPr>
          <w:rFonts w:eastAsia="等线"/>
          <w:bCs/>
          <w:sz w:val="20"/>
          <w:szCs w:val="20"/>
        </w:rPr>
        <w:t>, T</w:t>
      </w:r>
      <w:r w:rsidR="005372F1" w:rsidRPr="005372F1">
        <w:rPr>
          <w:rFonts w:eastAsia="等线"/>
          <w:bCs/>
          <w:sz w:val="20"/>
          <w:szCs w:val="20"/>
          <w:vertAlign w:val="subscript"/>
        </w:rPr>
        <w:t>LTM_RRC-processing</w:t>
      </w:r>
      <w:r w:rsidR="005372F1" w:rsidRPr="005372F1">
        <w:rPr>
          <w:rFonts w:eastAsia="等线"/>
          <w:bCs/>
          <w:sz w:val="20"/>
          <w:szCs w:val="20"/>
        </w:rPr>
        <w:t xml:space="preserve"> =0 applies to the </w:t>
      </w:r>
      <w:r w:rsidR="005372F1" w:rsidRPr="005372F1">
        <w:rPr>
          <w:rFonts w:eastAsia="等线"/>
          <w:sz w:val="20"/>
          <w:szCs w:val="20"/>
        </w:rPr>
        <w:t>LTM candidates</w:t>
      </w:r>
      <w:r w:rsidR="005372F1" w:rsidRPr="005372F1">
        <w:rPr>
          <w:rFonts w:eastAsia="等线"/>
          <w:bCs/>
          <w:sz w:val="20"/>
          <w:szCs w:val="20"/>
        </w:rPr>
        <w:t xml:space="preserve"> with early TCI activation or early PDCCH order RACH</w:t>
      </w:r>
      <w:r w:rsidR="005372F1" w:rsidRPr="005372F1">
        <w:rPr>
          <w:sz w:val="20"/>
          <w:szCs w:val="20"/>
        </w:rPr>
        <w:t>”</w:t>
      </w:r>
      <w:r w:rsidR="005372F1">
        <w:rPr>
          <w:sz w:val="20"/>
          <w:szCs w:val="20"/>
        </w:rPr>
        <w:t>. But we are still discussing whether to further optimiz</w:t>
      </w:r>
      <w:r w:rsidR="00ED19EE">
        <w:rPr>
          <w:sz w:val="20"/>
          <w:szCs w:val="20"/>
        </w:rPr>
        <w:t xml:space="preserve">e the case that the </w:t>
      </w:r>
      <w:r w:rsidR="00923DE1">
        <w:rPr>
          <w:sz w:val="20"/>
          <w:szCs w:val="20"/>
        </w:rPr>
        <w:t xml:space="preserve">total number of </w:t>
      </w:r>
      <w:r w:rsidR="00923DE1" w:rsidRPr="00923DE1">
        <w:rPr>
          <w:sz w:val="20"/>
          <w:szCs w:val="20"/>
        </w:rPr>
        <w:t xml:space="preserve">candidates </w:t>
      </w:r>
      <w:r w:rsidR="00923DE1">
        <w:rPr>
          <w:sz w:val="20"/>
          <w:szCs w:val="20"/>
        </w:rPr>
        <w:t xml:space="preserve">triggered </w:t>
      </w:r>
      <w:r w:rsidR="00923DE1" w:rsidRPr="00923DE1">
        <w:rPr>
          <w:sz w:val="20"/>
          <w:szCs w:val="20"/>
        </w:rPr>
        <w:t xml:space="preserve">early TCI </w:t>
      </w:r>
      <w:proofErr w:type="gramStart"/>
      <w:r w:rsidR="00923DE1" w:rsidRPr="00923DE1">
        <w:rPr>
          <w:sz w:val="20"/>
          <w:szCs w:val="20"/>
        </w:rPr>
        <w:t>activation</w:t>
      </w:r>
      <w:proofErr w:type="gramEnd"/>
      <w:r w:rsidR="00923DE1" w:rsidRPr="00923DE1">
        <w:rPr>
          <w:sz w:val="20"/>
          <w:szCs w:val="20"/>
        </w:rPr>
        <w:t xml:space="preserve"> or early PDCCH order RACH</w:t>
      </w:r>
      <w:r w:rsidR="00923DE1">
        <w:rPr>
          <w:sz w:val="20"/>
          <w:szCs w:val="20"/>
        </w:rPr>
        <w:t xml:space="preserve"> exceed UE capability. We are open to do further optimization if </w:t>
      </w:r>
      <w:r w:rsidR="00923DE1" w:rsidRPr="00B04BDB">
        <w:rPr>
          <w:sz w:val="20"/>
          <w:szCs w:val="20"/>
        </w:rPr>
        <w:t>a simple and clear rule</w:t>
      </w:r>
      <w:r w:rsidR="00923DE1">
        <w:rPr>
          <w:sz w:val="20"/>
          <w:szCs w:val="20"/>
        </w:rPr>
        <w:t xml:space="preserve"> can be defined. Based on the discussion in RAN4#112, we don’t think it is easy to converge. If so, we prefer not to do further optimization.</w:t>
      </w:r>
    </w:p>
    <w:p w14:paraId="398413EA" w14:textId="77777777" w:rsidR="00923DE1" w:rsidRPr="00B04BDB" w:rsidRDefault="00923DE1" w:rsidP="00923DE1">
      <w:pPr>
        <w:rPr>
          <w:sz w:val="20"/>
          <w:szCs w:val="20"/>
        </w:rPr>
      </w:pPr>
    </w:p>
    <w:p w14:paraId="73E0A5AA" w14:textId="0A92184C" w:rsidR="001A0E26" w:rsidRPr="00B04BDB" w:rsidRDefault="001A0E26" w:rsidP="001A0E26">
      <w:pPr>
        <w:spacing w:beforeLines="50" w:before="120" w:afterLines="50" w:after="120"/>
        <w:rPr>
          <w:rFonts w:cstheme="minorHAnsi"/>
          <w:b/>
          <w:bCs/>
          <w:sz w:val="20"/>
          <w:szCs w:val="20"/>
        </w:rPr>
      </w:pPr>
      <w:bookmarkStart w:id="7" w:name="_Hlk173934622"/>
      <w:r w:rsidRPr="00B04BDB">
        <w:rPr>
          <w:rFonts w:cstheme="minorHAnsi"/>
          <w:b/>
          <w:sz w:val="20"/>
          <w:szCs w:val="20"/>
        </w:rPr>
        <w:t xml:space="preserve">Proposal </w:t>
      </w:r>
      <w:r w:rsidR="00F179A4">
        <w:rPr>
          <w:rFonts w:cstheme="minorHAnsi"/>
          <w:b/>
          <w:sz w:val="20"/>
          <w:szCs w:val="20"/>
        </w:rPr>
        <w:t>7</w:t>
      </w:r>
      <w:r w:rsidRPr="00B04BDB">
        <w:rPr>
          <w:rFonts w:cstheme="minorHAnsi"/>
          <w:b/>
          <w:sz w:val="20"/>
          <w:szCs w:val="20"/>
        </w:rPr>
        <w:t xml:space="preserve">: </w:t>
      </w:r>
      <w:r w:rsidR="00D83FFB" w:rsidRPr="00B04BDB">
        <w:rPr>
          <w:rFonts w:cstheme="minorHAnsi"/>
          <w:b/>
          <w:sz w:val="20"/>
          <w:szCs w:val="20"/>
        </w:rPr>
        <w:t xml:space="preserve">When the configured candidate </w:t>
      </w:r>
      <w:r w:rsidR="00D83FFB" w:rsidRPr="00B04BDB">
        <w:rPr>
          <w:rFonts w:cstheme="minorHAnsi"/>
          <w:b/>
          <w:bCs/>
          <w:sz w:val="20"/>
          <w:szCs w:val="20"/>
        </w:rPr>
        <w:t xml:space="preserve">cells are more than number of candidates that UE supports early RRC decoding and validity check, </w:t>
      </w:r>
      <w:r w:rsidR="00923DE1">
        <w:rPr>
          <w:rFonts w:cstheme="minorHAnsi"/>
          <w:b/>
          <w:bCs/>
          <w:sz w:val="20"/>
          <w:szCs w:val="20"/>
        </w:rPr>
        <w:t xml:space="preserve">we are open to further optimize this scenario </w:t>
      </w:r>
      <w:r w:rsidR="00C23BF0">
        <w:rPr>
          <w:rFonts w:cstheme="minorHAnsi"/>
          <w:b/>
          <w:bCs/>
          <w:sz w:val="20"/>
          <w:szCs w:val="20"/>
        </w:rPr>
        <w:t xml:space="preserve">only </w:t>
      </w:r>
      <w:r w:rsidR="00923DE1">
        <w:rPr>
          <w:rFonts w:cstheme="minorHAnsi"/>
          <w:b/>
          <w:bCs/>
          <w:sz w:val="20"/>
          <w:szCs w:val="20"/>
        </w:rPr>
        <w:t xml:space="preserve">if </w:t>
      </w:r>
      <w:r w:rsidR="00923DE1" w:rsidRPr="00923DE1">
        <w:rPr>
          <w:rFonts w:cstheme="minorHAnsi"/>
          <w:b/>
          <w:bCs/>
          <w:sz w:val="20"/>
          <w:szCs w:val="20"/>
        </w:rPr>
        <w:t xml:space="preserve">a simple and clear rule can be </w:t>
      </w:r>
      <w:r w:rsidR="00923DE1">
        <w:rPr>
          <w:rFonts w:cstheme="minorHAnsi"/>
          <w:b/>
          <w:bCs/>
          <w:sz w:val="20"/>
          <w:szCs w:val="20"/>
        </w:rPr>
        <w:t>agreed. Otherwise, we prefer not to optimize further.</w:t>
      </w:r>
    </w:p>
    <w:p w14:paraId="2D15373D" w14:textId="77777777" w:rsidR="001855E2" w:rsidRPr="001855E2" w:rsidRDefault="001855E2" w:rsidP="001855E2">
      <w:pPr>
        <w:rPr>
          <w:b/>
          <w:bCs/>
          <w:sz w:val="20"/>
          <w:szCs w:val="20"/>
        </w:rPr>
      </w:pPr>
      <w:bookmarkStart w:id="8" w:name="_Hlk162888154"/>
    </w:p>
    <w:bookmarkEnd w:id="7"/>
    <w:p w14:paraId="1E5F5B90" w14:textId="5DF42C4E" w:rsidR="00C463B5" w:rsidRDefault="00C463B5" w:rsidP="00C463B5">
      <w:pPr>
        <w:pStyle w:val="Heading2"/>
        <w:rPr>
          <w:rFonts w:asciiTheme="minorHAnsi" w:hAnsiTheme="minorHAnsi" w:cstheme="minorHAnsi"/>
          <w:sz w:val="28"/>
          <w:szCs w:val="18"/>
        </w:rPr>
      </w:pPr>
      <w:r>
        <w:rPr>
          <w:rFonts w:asciiTheme="minorHAnsi" w:hAnsiTheme="minorHAnsi" w:cstheme="minorHAnsi"/>
          <w:sz w:val="28"/>
          <w:szCs w:val="18"/>
        </w:rPr>
        <w:t>2.</w:t>
      </w:r>
      <w:r w:rsidR="00FB5488">
        <w:rPr>
          <w:rFonts w:asciiTheme="minorHAnsi" w:hAnsiTheme="minorHAnsi" w:cstheme="minorHAnsi"/>
          <w:sz w:val="28"/>
          <w:szCs w:val="18"/>
        </w:rPr>
        <w:t>3</w:t>
      </w:r>
      <w:r>
        <w:rPr>
          <w:rFonts w:asciiTheme="minorHAnsi" w:hAnsiTheme="minorHAnsi" w:cstheme="minorHAnsi"/>
          <w:sz w:val="28"/>
          <w:szCs w:val="18"/>
        </w:rPr>
        <w:t xml:space="preserve"> </w:t>
      </w:r>
      <w:r w:rsidR="00FB5488">
        <w:rPr>
          <w:rFonts w:asciiTheme="minorHAnsi" w:hAnsiTheme="minorHAnsi" w:cstheme="minorHAnsi"/>
          <w:sz w:val="28"/>
          <w:szCs w:val="18"/>
        </w:rPr>
        <w:t>UE feature</w:t>
      </w:r>
    </w:p>
    <w:p w14:paraId="4CFA2920" w14:textId="3BB3C154" w:rsidR="004F0F44" w:rsidRDefault="004F0F44" w:rsidP="004F0F44">
      <w:pPr>
        <w:rPr>
          <w:sz w:val="20"/>
          <w:szCs w:val="20"/>
        </w:rPr>
      </w:pPr>
      <w:r>
        <w:rPr>
          <w:rFonts w:hint="eastAsia"/>
          <w:sz w:val="20"/>
          <w:szCs w:val="20"/>
        </w:rPr>
        <w:t>I</w:t>
      </w:r>
      <w:r>
        <w:rPr>
          <w:sz w:val="20"/>
          <w:szCs w:val="20"/>
        </w:rPr>
        <w:t xml:space="preserve">n the UE feature </w:t>
      </w:r>
      <w:proofErr w:type="gramStart"/>
      <w:r>
        <w:rPr>
          <w:sz w:val="20"/>
          <w:szCs w:val="20"/>
        </w:rPr>
        <w:t>list</w:t>
      </w:r>
      <w:proofErr w:type="gramEnd"/>
      <w:r>
        <w:rPr>
          <w:sz w:val="20"/>
          <w:szCs w:val="20"/>
        </w:rPr>
        <w:t xml:space="preserve"> we sent to RAN2</w:t>
      </w:r>
      <w:r w:rsidR="006C1AB1">
        <w:rPr>
          <w:sz w:val="20"/>
          <w:szCs w:val="20"/>
        </w:rPr>
        <w:t>,</w:t>
      </w:r>
      <w:r>
        <w:rPr>
          <w:sz w:val="20"/>
          <w:szCs w:val="20"/>
        </w:rPr>
        <w:t xml:space="preserve"> </w:t>
      </w:r>
      <w:r w:rsidR="006C1AB1">
        <w:rPr>
          <w:sz w:val="20"/>
          <w:szCs w:val="20"/>
        </w:rPr>
        <w:t>t</w:t>
      </w:r>
      <w:r w:rsidR="00D41A3C">
        <w:rPr>
          <w:sz w:val="20"/>
          <w:szCs w:val="20"/>
        </w:rPr>
        <w:t>he prerequisite FG of 39-6 “</w:t>
      </w:r>
      <w:r w:rsidR="00D41A3C" w:rsidRPr="00D41A3C">
        <w:rPr>
          <w:sz w:val="20"/>
          <w:szCs w:val="20"/>
        </w:rPr>
        <w:t xml:space="preserve">Fast processing of LTM candidate cell RRC </w:t>
      </w:r>
      <w:r w:rsidR="00D41A3C" w:rsidRPr="00D41A3C">
        <w:rPr>
          <w:sz w:val="20"/>
          <w:szCs w:val="20"/>
        </w:rPr>
        <w:lastRenderedPageBreak/>
        <w:t>configuration</w:t>
      </w:r>
      <w:r w:rsidR="00D41A3C">
        <w:rPr>
          <w:sz w:val="20"/>
          <w:szCs w:val="20"/>
        </w:rPr>
        <w:t>” is 45-3a/45-4a (45-3a:</w:t>
      </w:r>
      <w:r w:rsidR="00D41A3C" w:rsidRPr="00D41A3C">
        <w:t xml:space="preserve"> </w:t>
      </w:r>
      <w:r w:rsidR="00D41A3C" w:rsidRPr="00D41A3C">
        <w:rPr>
          <w:sz w:val="20"/>
          <w:szCs w:val="20"/>
        </w:rPr>
        <w:t>MAC-CE activated joint LTM TCI states</w:t>
      </w:r>
      <w:r w:rsidR="00D41A3C">
        <w:rPr>
          <w:sz w:val="20"/>
          <w:szCs w:val="20"/>
        </w:rPr>
        <w:t>, 45-4a:</w:t>
      </w:r>
      <w:r w:rsidR="00D41A3C" w:rsidRPr="00D41A3C">
        <w:t xml:space="preserve"> </w:t>
      </w:r>
      <w:r w:rsidR="00D41A3C" w:rsidRPr="00D41A3C">
        <w:rPr>
          <w:sz w:val="20"/>
          <w:szCs w:val="20"/>
        </w:rPr>
        <w:t>MAC-CE activated DL/UL LTM TCI states</w:t>
      </w:r>
      <w:r w:rsidR="00D41A3C">
        <w:rPr>
          <w:rFonts w:hint="eastAsia"/>
          <w:sz w:val="20"/>
          <w:szCs w:val="20"/>
        </w:rPr>
        <w:t>)</w:t>
      </w:r>
      <w:r w:rsidR="00D41A3C">
        <w:rPr>
          <w:sz w:val="20"/>
          <w:szCs w:val="20"/>
        </w:rPr>
        <w:t xml:space="preserve">. In our view, it is not necessary. Whether a UE is capable of fast RRC processing should be independent of 45-3a/45-4a. UE can get benefit if the number of pre-configured candidates and the total number of </w:t>
      </w:r>
      <w:r w:rsidR="00D41A3C" w:rsidRPr="00D41A3C">
        <w:rPr>
          <w:sz w:val="20"/>
          <w:szCs w:val="20"/>
        </w:rPr>
        <w:t>serving cell(s) and candidate cell(s)</w:t>
      </w:r>
      <w:r w:rsidR="00D41A3C">
        <w:rPr>
          <w:sz w:val="20"/>
          <w:szCs w:val="20"/>
        </w:rPr>
        <w:t xml:space="preserve"> are within UE capability. </w:t>
      </w:r>
      <w:r w:rsidR="006C1AB1">
        <w:rPr>
          <w:sz w:val="20"/>
          <w:szCs w:val="20"/>
        </w:rPr>
        <w:t>Or PDCCH-order RACH can be used to trigger fast RRC processing. We prefer to fix this.</w:t>
      </w:r>
    </w:p>
    <w:p w14:paraId="7ACC7C88" w14:textId="111C744E" w:rsidR="007E4D18" w:rsidRDefault="007E4D18" w:rsidP="004F0F44"/>
    <w:tbl>
      <w:tblPr>
        <w:tblStyle w:val="TableGrid"/>
        <w:tblW w:w="0" w:type="auto"/>
        <w:tblLook w:val="04A0" w:firstRow="1" w:lastRow="0" w:firstColumn="1" w:lastColumn="0" w:noHBand="0" w:noVBand="1"/>
      </w:tblPr>
      <w:tblGrid>
        <w:gridCol w:w="1555"/>
        <w:gridCol w:w="1275"/>
        <w:gridCol w:w="2268"/>
        <w:gridCol w:w="2953"/>
        <w:gridCol w:w="1578"/>
      </w:tblGrid>
      <w:tr w:rsidR="004F0F44" w14:paraId="6CBE998A" w14:textId="6DDC8D38" w:rsidTr="004F0F44">
        <w:tc>
          <w:tcPr>
            <w:tcW w:w="1555" w:type="dxa"/>
          </w:tcPr>
          <w:p w14:paraId="7DE20E7E" w14:textId="4A1F5C24" w:rsidR="004F0F44" w:rsidRPr="004F0F44" w:rsidRDefault="004F0F44" w:rsidP="004F0F44">
            <w:pPr>
              <w:rPr>
                <w:sz w:val="16"/>
                <w:szCs w:val="21"/>
              </w:rPr>
            </w:pPr>
            <w:r w:rsidRPr="004F0F44">
              <w:rPr>
                <w:rFonts w:ascii="Arial" w:eastAsia="Times New Roman" w:hAnsi="Arial" w:cs="Arial"/>
                <w:b/>
                <w:sz w:val="16"/>
                <w:szCs w:val="21"/>
              </w:rPr>
              <w:t>Features</w:t>
            </w:r>
          </w:p>
        </w:tc>
        <w:tc>
          <w:tcPr>
            <w:tcW w:w="1275" w:type="dxa"/>
          </w:tcPr>
          <w:p w14:paraId="6452FC78" w14:textId="301EAC58" w:rsidR="004F0F44" w:rsidRPr="004F0F44" w:rsidRDefault="004F0F44" w:rsidP="004F0F44">
            <w:pPr>
              <w:rPr>
                <w:sz w:val="16"/>
                <w:szCs w:val="21"/>
              </w:rPr>
            </w:pPr>
            <w:r w:rsidRPr="004F0F44">
              <w:rPr>
                <w:rFonts w:ascii="Arial" w:eastAsia="Times New Roman" w:hAnsi="Arial" w:cs="Arial"/>
                <w:b/>
                <w:sz w:val="16"/>
                <w:szCs w:val="21"/>
              </w:rPr>
              <w:t>Index</w:t>
            </w:r>
          </w:p>
        </w:tc>
        <w:tc>
          <w:tcPr>
            <w:tcW w:w="2268" w:type="dxa"/>
          </w:tcPr>
          <w:p w14:paraId="5EAC7BCE" w14:textId="23C66896" w:rsidR="004F0F44" w:rsidRPr="004F0F44" w:rsidRDefault="004F0F44" w:rsidP="004F0F44">
            <w:pPr>
              <w:rPr>
                <w:sz w:val="16"/>
                <w:szCs w:val="21"/>
              </w:rPr>
            </w:pPr>
            <w:r w:rsidRPr="004F0F44">
              <w:rPr>
                <w:rFonts w:ascii="Arial" w:eastAsia="Times New Roman" w:hAnsi="Arial" w:cs="Arial"/>
                <w:b/>
                <w:sz w:val="16"/>
                <w:szCs w:val="21"/>
              </w:rPr>
              <w:t>Feature group</w:t>
            </w:r>
          </w:p>
        </w:tc>
        <w:tc>
          <w:tcPr>
            <w:tcW w:w="2953" w:type="dxa"/>
          </w:tcPr>
          <w:p w14:paraId="1A16837A" w14:textId="01291C28" w:rsidR="004F0F44" w:rsidRPr="004F0F44" w:rsidRDefault="004F0F44" w:rsidP="004F0F44">
            <w:pPr>
              <w:keepNext/>
              <w:keepLines/>
              <w:overflowPunct w:val="0"/>
              <w:autoSpaceDE w:val="0"/>
              <w:autoSpaceDN w:val="0"/>
              <w:adjustRightInd w:val="0"/>
              <w:jc w:val="center"/>
              <w:textAlignment w:val="baseline"/>
              <w:rPr>
                <w:rFonts w:ascii="Arial" w:hAnsi="Arial" w:cs="Arial"/>
                <w:b/>
                <w:sz w:val="16"/>
                <w:szCs w:val="21"/>
              </w:rPr>
            </w:pPr>
            <w:r w:rsidRPr="004F0F44">
              <w:rPr>
                <w:rFonts w:ascii="Arial" w:eastAsia="Times New Roman" w:hAnsi="Arial" w:cs="Arial"/>
                <w:b/>
                <w:sz w:val="16"/>
                <w:szCs w:val="21"/>
              </w:rPr>
              <w:t>Components</w:t>
            </w:r>
          </w:p>
        </w:tc>
        <w:tc>
          <w:tcPr>
            <w:tcW w:w="1578" w:type="dxa"/>
          </w:tcPr>
          <w:p w14:paraId="41229874" w14:textId="61D23816" w:rsidR="004F0F44" w:rsidRPr="004F0F44" w:rsidRDefault="004F0F44" w:rsidP="004F0F44">
            <w:pPr>
              <w:keepNext/>
              <w:keepLines/>
              <w:overflowPunct w:val="0"/>
              <w:autoSpaceDE w:val="0"/>
              <w:autoSpaceDN w:val="0"/>
              <w:adjustRightInd w:val="0"/>
              <w:jc w:val="center"/>
              <w:textAlignment w:val="baseline"/>
              <w:rPr>
                <w:rFonts w:ascii="Arial" w:eastAsia="Times New Roman" w:hAnsi="Arial" w:cs="Arial"/>
                <w:b/>
                <w:sz w:val="16"/>
                <w:szCs w:val="21"/>
                <w:highlight w:val="yellow"/>
              </w:rPr>
            </w:pPr>
            <w:r w:rsidRPr="004F0F44">
              <w:rPr>
                <w:rFonts w:ascii="Arial" w:eastAsia="Times New Roman" w:hAnsi="Arial" w:cs="Arial"/>
                <w:b/>
                <w:sz w:val="16"/>
                <w:szCs w:val="21"/>
                <w:highlight w:val="yellow"/>
              </w:rPr>
              <w:t>Prerequisite feature groups</w:t>
            </w:r>
          </w:p>
        </w:tc>
      </w:tr>
      <w:tr w:rsidR="004F0F44" w14:paraId="04333173" w14:textId="673F5E66" w:rsidTr="004F0F44">
        <w:tc>
          <w:tcPr>
            <w:tcW w:w="1555" w:type="dxa"/>
          </w:tcPr>
          <w:p w14:paraId="21526F10" w14:textId="77777777" w:rsidR="004F0F44" w:rsidRPr="004F0F44" w:rsidRDefault="004F0F44" w:rsidP="004F0F44">
            <w:pPr>
              <w:snapToGrid w:val="0"/>
              <w:rPr>
                <w:rFonts w:ascii="Arial" w:hAnsi="Arial" w:cs="Arial"/>
                <w:sz w:val="16"/>
                <w:szCs w:val="21"/>
              </w:rPr>
            </w:pPr>
            <w:r w:rsidRPr="004F0F44">
              <w:rPr>
                <w:rFonts w:ascii="Arial" w:hAnsi="Arial" w:cs="Arial"/>
                <w:sz w:val="16"/>
                <w:szCs w:val="21"/>
              </w:rPr>
              <w:t>39.</w:t>
            </w:r>
          </w:p>
          <w:p w14:paraId="67152224" w14:textId="727B8563" w:rsidR="004F0F44" w:rsidRPr="004F0F44" w:rsidRDefault="004F0F44" w:rsidP="004F0F44">
            <w:pPr>
              <w:rPr>
                <w:sz w:val="16"/>
                <w:szCs w:val="21"/>
              </w:rPr>
            </w:pPr>
            <w:r w:rsidRPr="004F0F44">
              <w:rPr>
                <w:rFonts w:ascii="Arial" w:hAnsi="Arial" w:cs="Arial"/>
                <w:sz w:val="16"/>
                <w:szCs w:val="21"/>
              </w:rPr>
              <w:t>NR_Mob_enh2</w:t>
            </w:r>
          </w:p>
        </w:tc>
        <w:tc>
          <w:tcPr>
            <w:tcW w:w="1275" w:type="dxa"/>
          </w:tcPr>
          <w:p w14:paraId="30CBA535" w14:textId="07B9193C" w:rsidR="004F0F44" w:rsidRPr="004F0F44" w:rsidRDefault="004F0F44" w:rsidP="004F0F44">
            <w:pPr>
              <w:rPr>
                <w:sz w:val="16"/>
                <w:szCs w:val="21"/>
              </w:rPr>
            </w:pPr>
            <w:r w:rsidRPr="004F0F44">
              <w:rPr>
                <w:rFonts w:ascii="Arial" w:hAnsi="Arial" w:cs="Arial"/>
                <w:bCs/>
                <w:sz w:val="16"/>
                <w:szCs w:val="21"/>
              </w:rPr>
              <w:t>39-6</w:t>
            </w:r>
          </w:p>
        </w:tc>
        <w:tc>
          <w:tcPr>
            <w:tcW w:w="2268" w:type="dxa"/>
          </w:tcPr>
          <w:p w14:paraId="0F8DABD6" w14:textId="6309C66C" w:rsidR="004F0F44" w:rsidRPr="004F0F44" w:rsidRDefault="004F0F44" w:rsidP="004F0F44">
            <w:pPr>
              <w:rPr>
                <w:sz w:val="16"/>
                <w:szCs w:val="21"/>
              </w:rPr>
            </w:pPr>
            <w:r w:rsidRPr="004F0F44">
              <w:rPr>
                <w:rFonts w:ascii="Arial" w:hAnsi="Arial" w:cs="Arial"/>
                <w:bCs/>
                <w:sz w:val="16"/>
                <w:szCs w:val="21"/>
              </w:rPr>
              <w:t>Fast processing of LTM candidate cell RRC configuration</w:t>
            </w:r>
          </w:p>
        </w:tc>
        <w:tc>
          <w:tcPr>
            <w:tcW w:w="2953" w:type="dxa"/>
          </w:tcPr>
          <w:p w14:paraId="090DFCD9" w14:textId="77777777" w:rsidR="004F0F44" w:rsidRPr="004F0F44" w:rsidRDefault="004F0F44" w:rsidP="004F0F44">
            <w:pPr>
              <w:keepNext/>
              <w:keepLines/>
              <w:overflowPunct w:val="0"/>
              <w:autoSpaceDE w:val="0"/>
              <w:autoSpaceDN w:val="0"/>
              <w:adjustRightInd w:val="0"/>
              <w:textAlignment w:val="baseline"/>
              <w:rPr>
                <w:rFonts w:ascii="Arial" w:hAnsi="Arial" w:cs="Arial"/>
                <w:bCs/>
                <w:sz w:val="16"/>
                <w:szCs w:val="21"/>
              </w:rPr>
            </w:pPr>
            <w:r w:rsidRPr="004F0F44">
              <w:rPr>
                <w:rFonts w:ascii="Arial" w:hAnsi="Arial" w:cs="Arial"/>
                <w:bCs/>
                <w:sz w:val="16"/>
                <w:szCs w:val="21"/>
              </w:rPr>
              <w:t>1. Indicates the maximum number of serving cell(s) and candidate cell(s), including serving SpCell(s), serving SCell(s) in MCG and SCG, SpCell in LTMCandidateConfig(s) and Scell(s) in LTMCandidateConfig(s) for MCG and SCG, that UE can store the configurations.</w:t>
            </w:r>
          </w:p>
          <w:p w14:paraId="78A9BB9D" w14:textId="77777777" w:rsidR="004F0F44" w:rsidRPr="004F0F44" w:rsidRDefault="004F0F44" w:rsidP="004F0F44">
            <w:pPr>
              <w:keepNext/>
              <w:keepLines/>
              <w:overflowPunct w:val="0"/>
              <w:autoSpaceDE w:val="0"/>
              <w:autoSpaceDN w:val="0"/>
              <w:adjustRightInd w:val="0"/>
              <w:textAlignment w:val="baseline"/>
              <w:rPr>
                <w:rFonts w:ascii="Arial" w:hAnsi="Arial" w:cs="Arial"/>
                <w:bCs/>
                <w:sz w:val="16"/>
                <w:szCs w:val="21"/>
              </w:rPr>
            </w:pPr>
            <w:r w:rsidRPr="004F0F44">
              <w:rPr>
                <w:rFonts w:ascii="Arial" w:hAnsi="Arial" w:cs="Arial"/>
                <w:bCs/>
                <w:sz w:val="16"/>
                <w:szCs w:val="21"/>
              </w:rPr>
              <w:t>2. Indicates the maximum number of LTMCandidateConfigs that UE can support fast processing</w:t>
            </w:r>
          </w:p>
          <w:p w14:paraId="4905F274" w14:textId="228F6B60" w:rsidR="004F0F44" w:rsidRPr="004F0F44" w:rsidRDefault="004F0F44" w:rsidP="004F0F44">
            <w:pPr>
              <w:rPr>
                <w:sz w:val="16"/>
                <w:szCs w:val="21"/>
              </w:rPr>
            </w:pPr>
            <w:r w:rsidRPr="004F0F44">
              <w:rPr>
                <w:rFonts w:ascii="Arial" w:hAnsi="Arial" w:cs="Arial"/>
                <w:bCs/>
                <w:sz w:val="16"/>
                <w:szCs w:val="21"/>
              </w:rPr>
              <w:t>.</w:t>
            </w:r>
          </w:p>
        </w:tc>
        <w:tc>
          <w:tcPr>
            <w:tcW w:w="1578" w:type="dxa"/>
          </w:tcPr>
          <w:p w14:paraId="05155B1B" w14:textId="01ECF299" w:rsidR="004F0F44" w:rsidRPr="004F0F44" w:rsidRDefault="004F0F44" w:rsidP="004F0F44">
            <w:pPr>
              <w:keepNext/>
              <w:keepLines/>
              <w:overflowPunct w:val="0"/>
              <w:autoSpaceDE w:val="0"/>
              <w:autoSpaceDN w:val="0"/>
              <w:adjustRightInd w:val="0"/>
              <w:textAlignment w:val="baseline"/>
              <w:rPr>
                <w:rFonts w:ascii="Arial" w:hAnsi="Arial" w:cs="Arial"/>
                <w:bCs/>
                <w:sz w:val="16"/>
                <w:szCs w:val="21"/>
                <w:highlight w:val="yellow"/>
              </w:rPr>
            </w:pPr>
            <w:r w:rsidRPr="004F0F44">
              <w:rPr>
                <w:rFonts w:ascii="Arial" w:hAnsi="Arial" w:cs="Arial"/>
                <w:bCs/>
                <w:sz w:val="16"/>
                <w:szCs w:val="21"/>
                <w:highlight w:val="yellow"/>
              </w:rPr>
              <w:t>45-3a or 45-4a in RAN1 feature list</w:t>
            </w:r>
          </w:p>
        </w:tc>
      </w:tr>
    </w:tbl>
    <w:p w14:paraId="5548E796" w14:textId="77777777" w:rsidR="00057F6B" w:rsidRPr="00A9131F" w:rsidRDefault="00057F6B" w:rsidP="00DE0858">
      <w:pPr>
        <w:rPr>
          <w:sz w:val="20"/>
          <w:szCs w:val="20"/>
        </w:rPr>
      </w:pPr>
    </w:p>
    <w:p w14:paraId="3A8CF129" w14:textId="3C359A35" w:rsidR="00C262AE" w:rsidRDefault="00057F6B" w:rsidP="00171710">
      <w:pPr>
        <w:spacing w:beforeLines="50" w:before="120" w:afterLines="50" w:after="120"/>
        <w:rPr>
          <w:rFonts w:cstheme="minorHAnsi"/>
          <w:b/>
          <w:sz w:val="20"/>
          <w:szCs w:val="20"/>
        </w:rPr>
      </w:pPr>
      <w:bookmarkStart w:id="9" w:name="_Hlk173934631"/>
      <w:r w:rsidRPr="00B04BDB">
        <w:rPr>
          <w:rFonts w:cstheme="minorHAnsi"/>
          <w:b/>
          <w:sz w:val="20"/>
          <w:szCs w:val="20"/>
        </w:rPr>
        <w:t xml:space="preserve">Proposal </w:t>
      </w:r>
      <w:r w:rsidR="00F179A4">
        <w:rPr>
          <w:rFonts w:cstheme="minorHAnsi"/>
          <w:b/>
          <w:sz w:val="20"/>
          <w:szCs w:val="20"/>
        </w:rPr>
        <w:t>8</w:t>
      </w:r>
      <w:r w:rsidRPr="00B04BDB">
        <w:rPr>
          <w:rFonts w:cstheme="minorHAnsi"/>
          <w:b/>
          <w:sz w:val="20"/>
          <w:szCs w:val="20"/>
        </w:rPr>
        <w:t>:</w:t>
      </w:r>
      <w:r w:rsidR="006C1AB1">
        <w:rPr>
          <w:rFonts w:cstheme="minorHAnsi"/>
          <w:b/>
          <w:sz w:val="20"/>
          <w:szCs w:val="20"/>
        </w:rPr>
        <w:t xml:space="preserve"> Send LS to RAN2 to </w:t>
      </w:r>
      <w:r w:rsidR="008A5EDE">
        <w:rPr>
          <w:rFonts w:cstheme="minorHAnsi"/>
          <w:b/>
          <w:sz w:val="20"/>
          <w:szCs w:val="20"/>
        </w:rPr>
        <w:t xml:space="preserve">inform them that </w:t>
      </w:r>
      <w:r w:rsidR="008A5EDE" w:rsidRPr="008A5EDE">
        <w:rPr>
          <w:rFonts w:cstheme="minorHAnsi"/>
          <w:b/>
          <w:sz w:val="20"/>
          <w:szCs w:val="20"/>
        </w:rPr>
        <w:t>45-3a</w:t>
      </w:r>
      <w:r w:rsidR="008A5EDE">
        <w:rPr>
          <w:rFonts w:cstheme="minorHAnsi"/>
          <w:b/>
          <w:sz w:val="20"/>
          <w:szCs w:val="20"/>
        </w:rPr>
        <w:t>/</w:t>
      </w:r>
      <w:r w:rsidR="008A5EDE" w:rsidRPr="008A5EDE">
        <w:rPr>
          <w:rFonts w:cstheme="minorHAnsi"/>
          <w:b/>
          <w:sz w:val="20"/>
          <w:szCs w:val="20"/>
        </w:rPr>
        <w:t>45-4a</w:t>
      </w:r>
      <w:r w:rsidR="008A5EDE">
        <w:rPr>
          <w:rFonts w:cstheme="minorHAnsi"/>
          <w:b/>
          <w:sz w:val="20"/>
          <w:szCs w:val="20"/>
        </w:rPr>
        <w:t xml:space="preserve"> (</w:t>
      </w:r>
      <w:r w:rsidR="008A5EDE" w:rsidRPr="008A5EDE">
        <w:rPr>
          <w:rFonts w:cstheme="minorHAnsi"/>
          <w:b/>
          <w:sz w:val="20"/>
          <w:szCs w:val="20"/>
        </w:rPr>
        <w:t>MAC-CE activated joint LTM TCI states</w:t>
      </w:r>
      <w:r w:rsidR="008A5EDE">
        <w:rPr>
          <w:rFonts w:cstheme="minorHAnsi"/>
          <w:b/>
          <w:sz w:val="20"/>
          <w:szCs w:val="20"/>
        </w:rPr>
        <w:t xml:space="preserve">) are not the </w:t>
      </w:r>
      <w:r w:rsidR="008A5EDE" w:rsidRPr="008A5EDE">
        <w:rPr>
          <w:rFonts w:cstheme="minorHAnsi"/>
          <w:b/>
          <w:sz w:val="20"/>
          <w:szCs w:val="20"/>
        </w:rPr>
        <w:t>prerequisite FG of 39-6 “Fast processing of LTM candidate cell RRC configuration”</w:t>
      </w:r>
      <w:r w:rsidRPr="00B04BDB">
        <w:rPr>
          <w:rFonts w:cstheme="minorHAnsi"/>
          <w:b/>
          <w:sz w:val="20"/>
          <w:szCs w:val="20"/>
        </w:rPr>
        <w:t xml:space="preserve">. </w:t>
      </w:r>
    </w:p>
    <w:p w14:paraId="126B56A6" w14:textId="1178D60E" w:rsidR="008A5EDE" w:rsidRDefault="008A5EDE" w:rsidP="008A5EDE">
      <w:pPr>
        <w:pStyle w:val="Heading2"/>
        <w:rPr>
          <w:rFonts w:asciiTheme="minorHAnsi" w:hAnsiTheme="minorHAnsi" w:cstheme="minorHAnsi"/>
          <w:sz w:val="28"/>
          <w:szCs w:val="18"/>
        </w:rPr>
      </w:pPr>
      <w:r w:rsidRPr="008A5EDE">
        <w:rPr>
          <w:rFonts w:asciiTheme="minorHAnsi" w:hAnsiTheme="minorHAnsi" w:cstheme="minorHAnsi" w:hint="eastAsia"/>
          <w:sz w:val="28"/>
          <w:szCs w:val="18"/>
        </w:rPr>
        <w:t>2</w:t>
      </w:r>
      <w:r w:rsidRPr="008A5EDE">
        <w:rPr>
          <w:rFonts w:asciiTheme="minorHAnsi" w:hAnsiTheme="minorHAnsi" w:cstheme="minorHAnsi"/>
          <w:sz w:val="28"/>
          <w:szCs w:val="18"/>
        </w:rPr>
        <w:t>.4 RAN2 LS</w:t>
      </w:r>
      <w:r w:rsidR="00287908">
        <w:rPr>
          <w:rFonts w:asciiTheme="minorHAnsi" w:hAnsiTheme="minorHAnsi" w:cstheme="minorHAnsi"/>
          <w:sz w:val="28"/>
          <w:szCs w:val="18"/>
        </w:rPr>
        <w:t xml:space="preserve"> on </w:t>
      </w:r>
      <w:r w:rsidR="00287908" w:rsidRPr="00287908">
        <w:rPr>
          <w:rFonts w:asciiTheme="minorHAnsi" w:hAnsiTheme="minorHAnsi" w:cstheme="minorHAnsi"/>
          <w:sz w:val="28"/>
          <w:szCs w:val="18"/>
        </w:rPr>
        <w:t>the fast RRC processing for LTM</w:t>
      </w:r>
    </w:p>
    <w:p w14:paraId="3EBD3A27" w14:textId="4AD7F022" w:rsidR="00696860" w:rsidRPr="00C51769" w:rsidRDefault="00287908" w:rsidP="00C51769">
      <w:pPr>
        <w:rPr>
          <w:sz w:val="20"/>
          <w:szCs w:val="20"/>
        </w:rPr>
      </w:pPr>
      <w:r w:rsidRPr="00C51769">
        <w:rPr>
          <w:rFonts w:hint="eastAsia"/>
          <w:sz w:val="20"/>
          <w:szCs w:val="20"/>
        </w:rPr>
        <w:t>Last</w:t>
      </w:r>
      <w:r w:rsidRPr="00C51769">
        <w:rPr>
          <w:sz w:val="20"/>
          <w:szCs w:val="20"/>
        </w:rPr>
        <w:t xml:space="preserve"> meeting, RAN2 sent us an LS on fast RRC processing for LTM (R2-2409377/ R4-2417509). </w:t>
      </w:r>
      <w:r w:rsidR="002F416B" w:rsidRPr="00C51769">
        <w:rPr>
          <w:rFonts w:hint="eastAsia"/>
          <w:sz w:val="20"/>
          <w:szCs w:val="20"/>
        </w:rPr>
        <w:t>A</w:t>
      </w:r>
      <w:r w:rsidR="002F416B" w:rsidRPr="00C51769">
        <w:rPr>
          <w:sz w:val="20"/>
          <w:szCs w:val="20"/>
        </w:rPr>
        <w:t>s far as we know, the background is as below:</w:t>
      </w:r>
    </w:p>
    <w:p w14:paraId="453EA101" w14:textId="328A5FCF" w:rsidR="00696860" w:rsidRPr="00C51769" w:rsidRDefault="00696860" w:rsidP="00C51769">
      <w:pPr>
        <w:rPr>
          <w:sz w:val="20"/>
          <w:szCs w:val="20"/>
        </w:rPr>
      </w:pPr>
      <w:r w:rsidRPr="00C51769">
        <w:rPr>
          <w:sz w:val="20"/>
          <w:szCs w:val="20"/>
        </w:rPr>
        <w:t>RAN4 introduced the capability LTM fast RRC processing</w:t>
      </w:r>
      <w:r w:rsidR="00D02492">
        <w:rPr>
          <w:sz w:val="20"/>
          <w:szCs w:val="20"/>
        </w:rPr>
        <w:t xml:space="preserve"> “</w:t>
      </w:r>
      <w:r w:rsidR="00D02492" w:rsidRPr="00D02492">
        <w:rPr>
          <w:sz w:val="20"/>
          <w:szCs w:val="20"/>
        </w:rPr>
        <w:t>ltm-FastProcessingConfig-r18</w:t>
      </w:r>
      <w:r w:rsidR="00D02492">
        <w:rPr>
          <w:sz w:val="20"/>
          <w:szCs w:val="20"/>
        </w:rPr>
        <w:t>”</w:t>
      </w:r>
      <w:r w:rsidRPr="00C51769">
        <w:rPr>
          <w:sz w:val="20"/>
          <w:szCs w:val="20"/>
        </w:rPr>
        <w:t>. There are two components included:</w:t>
      </w:r>
    </w:p>
    <w:p w14:paraId="07070DB4" w14:textId="34A573F4" w:rsidR="00696860" w:rsidRPr="00C51769" w:rsidRDefault="00696860" w:rsidP="00AE5E90">
      <w:pPr>
        <w:ind w:left="284"/>
        <w:rPr>
          <w:sz w:val="20"/>
          <w:szCs w:val="20"/>
        </w:rPr>
      </w:pPr>
      <w:r w:rsidRPr="00C51769">
        <w:rPr>
          <w:rFonts w:hint="eastAsia"/>
          <w:sz w:val="20"/>
          <w:szCs w:val="20"/>
        </w:rPr>
        <w:t>•</w:t>
      </w:r>
      <w:r w:rsidRPr="00C51769">
        <w:rPr>
          <w:sz w:val="20"/>
          <w:szCs w:val="20"/>
        </w:rPr>
        <w:tab/>
        <w:t>maxNumberConfigs-r18, represents the maximum number of LTM candidate configuration for which the UE can perform early ASN.1 decoding and validity check</w:t>
      </w:r>
    </w:p>
    <w:p w14:paraId="052A27E8" w14:textId="616E74BB" w:rsidR="002F416B" w:rsidRPr="00C51769" w:rsidRDefault="00696860" w:rsidP="00AE5E90">
      <w:pPr>
        <w:ind w:left="284"/>
        <w:rPr>
          <w:sz w:val="20"/>
          <w:szCs w:val="20"/>
        </w:rPr>
      </w:pPr>
      <w:r w:rsidRPr="00C51769">
        <w:rPr>
          <w:rFonts w:hint="eastAsia"/>
          <w:sz w:val="20"/>
          <w:szCs w:val="20"/>
        </w:rPr>
        <w:t>•</w:t>
      </w:r>
      <w:r w:rsidRPr="00C51769">
        <w:rPr>
          <w:sz w:val="20"/>
          <w:szCs w:val="20"/>
        </w:rPr>
        <w:tab/>
        <w:t>maxNumberStoredConfigCells, indicates the maximum number of serving cell(s) and candidate cell(s), including serving SpCell(s), serving SCell(s) in MCG and SCG, SpCell in LTM candidate configurations and Scell(s) in LTM candidate configurations for MCG and SCG, that UE can store the configurations.</w:t>
      </w:r>
    </w:p>
    <w:p w14:paraId="439AD479" w14:textId="77777777" w:rsidR="002F416B" w:rsidRPr="00C51769" w:rsidRDefault="002F416B" w:rsidP="00C51769">
      <w:pPr>
        <w:rPr>
          <w:sz w:val="20"/>
          <w:szCs w:val="20"/>
        </w:rPr>
      </w:pPr>
    </w:p>
    <w:p w14:paraId="2EC3044D" w14:textId="018A4592" w:rsidR="00696860" w:rsidRPr="00C51769" w:rsidRDefault="00696860" w:rsidP="00C51769">
      <w:pPr>
        <w:rPr>
          <w:sz w:val="20"/>
          <w:szCs w:val="20"/>
        </w:rPr>
      </w:pPr>
      <w:r w:rsidRPr="00C51769">
        <w:rPr>
          <w:rFonts w:hint="eastAsia"/>
          <w:sz w:val="20"/>
          <w:szCs w:val="20"/>
        </w:rPr>
        <w:t>U</w:t>
      </w:r>
      <w:r w:rsidRPr="00C51769">
        <w:rPr>
          <w:sz w:val="20"/>
          <w:szCs w:val="20"/>
        </w:rPr>
        <w:t xml:space="preserve">E will decide whether to perform early RRC decoding and store the configurations of a candidate based on its UE capability and the conditions defined in 38.133. NW will also use this </w:t>
      </w:r>
      <w:r w:rsidR="00A616F7" w:rsidRPr="00C51769">
        <w:rPr>
          <w:sz w:val="20"/>
          <w:szCs w:val="20"/>
        </w:rPr>
        <w:t>i</w:t>
      </w:r>
      <w:r w:rsidR="00A616F7">
        <w:rPr>
          <w:sz w:val="20"/>
          <w:szCs w:val="20"/>
        </w:rPr>
        <w:t>n</w:t>
      </w:r>
      <w:r w:rsidR="00A616F7" w:rsidRPr="00C51769">
        <w:rPr>
          <w:sz w:val="20"/>
          <w:szCs w:val="20"/>
        </w:rPr>
        <w:t xml:space="preserve">formation </w:t>
      </w:r>
      <w:r w:rsidRPr="00C51769">
        <w:rPr>
          <w:sz w:val="20"/>
          <w:szCs w:val="20"/>
        </w:rPr>
        <w:t xml:space="preserve">to determine the cell switch delay needed by UE. </w:t>
      </w:r>
    </w:p>
    <w:p w14:paraId="53DADC81" w14:textId="77777777" w:rsidR="00C53A49" w:rsidRPr="00C51769" w:rsidRDefault="00C53A49" w:rsidP="00C51769">
      <w:pPr>
        <w:rPr>
          <w:sz w:val="20"/>
          <w:szCs w:val="20"/>
        </w:rPr>
      </w:pPr>
    </w:p>
    <w:p w14:paraId="422FC466" w14:textId="6ED79A97" w:rsidR="00696860" w:rsidRPr="00C51769" w:rsidRDefault="00696860" w:rsidP="00C51769">
      <w:pPr>
        <w:rPr>
          <w:sz w:val="20"/>
          <w:szCs w:val="20"/>
        </w:rPr>
      </w:pPr>
      <w:r w:rsidRPr="00C51769">
        <w:rPr>
          <w:rFonts w:hint="eastAsia"/>
          <w:sz w:val="20"/>
          <w:szCs w:val="20"/>
        </w:rPr>
        <w:t>F</w:t>
      </w:r>
      <w:r w:rsidRPr="00C51769">
        <w:rPr>
          <w:sz w:val="20"/>
          <w:szCs w:val="20"/>
        </w:rPr>
        <w:t xml:space="preserve">or the first component, maxNumberConfigs-r18, it is very easy for UE to judge whether </w:t>
      </w:r>
      <w:r w:rsidR="00C53A49" w:rsidRPr="00C51769">
        <w:rPr>
          <w:sz w:val="20"/>
          <w:szCs w:val="20"/>
        </w:rPr>
        <w:t xml:space="preserve">the number of LTM candidate configurations exceeds its capability and whether the number of LTM candidate configurations NW triggered early TCI state activation and PDCCH order RACH. </w:t>
      </w:r>
    </w:p>
    <w:p w14:paraId="2FEDDC07" w14:textId="41D6E90D" w:rsidR="00C51769" w:rsidRPr="00C51769" w:rsidRDefault="00C53A49" w:rsidP="00C51769">
      <w:pPr>
        <w:rPr>
          <w:sz w:val="20"/>
          <w:szCs w:val="20"/>
        </w:rPr>
      </w:pPr>
      <w:r w:rsidRPr="00C51769">
        <w:rPr>
          <w:sz w:val="20"/>
          <w:szCs w:val="20"/>
        </w:rPr>
        <w:t xml:space="preserve">But for the second component, maxNumberStoredConfigCells, </w:t>
      </w:r>
      <w:bookmarkStart w:id="10" w:name="OLE_LINK33"/>
      <w:r w:rsidR="00C51769" w:rsidRPr="00C51769">
        <w:rPr>
          <w:sz w:val="20"/>
          <w:szCs w:val="20"/>
        </w:rPr>
        <w:t xml:space="preserve">due to </w:t>
      </w:r>
      <w:r w:rsidRPr="00C51769">
        <w:rPr>
          <w:sz w:val="20"/>
          <w:szCs w:val="20"/>
        </w:rPr>
        <w:t xml:space="preserve">the number of </w:t>
      </w:r>
      <w:bookmarkStart w:id="11" w:name="OLE_LINK37"/>
      <w:bookmarkStart w:id="12" w:name="OLE_LINK38"/>
      <w:bookmarkEnd w:id="10"/>
      <w:r w:rsidRPr="00C51769">
        <w:rPr>
          <w:sz w:val="20"/>
          <w:szCs w:val="20"/>
        </w:rPr>
        <w:t xml:space="preserve">SpCell/SCell(s) </w:t>
      </w:r>
      <w:bookmarkEnd w:id="11"/>
      <w:r w:rsidRPr="00C51769">
        <w:rPr>
          <w:sz w:val="20"/>
          <w:szCs w:val="20"/>
        </w:rPr>
        <w:t>in LTM candidate configurations</w:t>
      </w:r>
      <w:bookmarkEnd w:id="12"/>
      <w:r w:rsidRPr="00C51769">
        <w:rPr>
          <w:sz w:val="20"/>
          <w:szCs w:val="20"/>
        </w:rPr>
        <w:t xml:space="preserve"> is not visible until the UE decodes </w:t>
      </w:r>
      <w:bookmarkStart w:id="13" w:name="OLE_LINK35"/>
      <w:r w:rsidRPr="00C51769">
        <w:rPr>
          <w:sz w:val="20"/>
          <w:szCs w:val="20"/>
        </w:rPr>
        <w:t>LTM candidate configuration(s)</w:t>
      </w:r>
      <w:bookmarkEnd w:id="13"/>
      <w:r w:rsidR="00C51769" w:rsidRPr="00C51769">
        <w:rPr>
          <w:sz w:val="20"/>
          <w:szCs w:val="20"/>
        </w:rPr>
        <w:t xml:space="preserve">, UE needs to perform early RRC decoding at first </w:t>
      </w:r>
      <w:proofErr w:type="gramStart"/>
      <w:r w:rsidR="00C51769" w:rsidRPr="00C51769">
        <w:rPr>
          <w:sz w:val="20"/>
          <w:szCs w:val="20"/>
        </w:rPr>
        <w:t>in order to</w:t>
      </w:r>
      <w:proofErr w:type="gramEnd"/>
      <w:r w:rsidR="00C51769" w:rsidRPr="00C51769">
        <w:rPr>
          <w:sz w:val="20"/>
          <w:szCs w:val="20"/>
        </w:rPr>
        <w:t xml:space="preserve"> know whether the fast RRC processing conditions are fulfilled or not. This creates a chicken-egg problem.</w:t>
      </w:r>
    </w:p>
    <w:p w14:paraId="53F6F9B5" w14:textId="77777777" w:rsidR="00C51769" w:rsidRPr="00C51769" w:rsidRDefault="00C51769" w:rsidP="00C51769">
      <w:pPr>
        <w:rPr>
          <w:sz w:val="20"/>
          <w:szCs w:val="20"/>
        </w:rPr>
      </w:pPr>
    </w:p>
    <w:p w14:paraId="74B0689B" w14:textId="12759A7D" w:rsidR="00C51769" w:rsidRDefault="00C51769" w:rsidP="00C51769">
      <w:pPr>
        <w:rPr>
          <w:sz w:val="20"/>
          <w:szCs w:val="20"/>
        </w:rPr>
      </w:pPr>
      <w:r w:rsidRPr="00C51769">
        <w:rPr>
          <w:sz w:val="20"/>
          <w:szCs w:val="20"/>
        </w:rPr>
        <w:t xml:space="preserve">So RAN2 discussed whether to </w:t>
      </w:r>
      <w:bookmarkStart w:id="14" w:name="OLE_LINK17"/>
      <w:r w:rsidRPr="00C51769">
        <w:rPr>
          <w:sz w:val="20"/>
          <w:szCs w:val="20"/>
        </w:rPr>
        <w:t>add a new field in LTM-Candidate IE to indicate the number of serving cells configured by this LTM candidate configuration</w:t>
      </w:r>
      <w:bookmarkEnd w:id="14"/>
      <w:r w:rsidRPr="00C51769">
        <w:rPr>
          <w:sz w:val="20"/>
          <w:szCs w:val="20"/>
        </w:rPr>
        <w:t>.</w:t>
      </w:r>
      <w:r>
        <w:rPr>
          <w:sz w:val="20"/>
          <w:szCs w:val="20"/>
        </w:rPr>
        <w:t xml:space="preserve"> However, it seems RAN2 companies don’t have common understanding on this capability and need </w:t>
      </w:r>
      <w:r w:rsidR="00F21928">
        <w:rPr>
          <w:sz w:val="20"/>
          <w:szCs w:val="20"/>
        </w:rPr>
        <w:t xml:space="preserve">more </w:t>
      </w:r>
      <w:r>
        <w:rPr>
          <w:sz w:val="20"/>
          <w:szCs w:val="20"/>
        </w:rPr>
        <w:t>RAN4 inpu</w:t>
      </w:r>
      <w:r w:rsidR="00F21928">
        <w:rPr>
          <w:sz w:val="20"/>
          <w:szCs w:val="20"/>
        </w:rPr>
        <w:t>ts.</w:t>
      </w:r>
    </w:p>
    <w:p w14:paraId="5AA76B96" w14:textId="6032F6FB" w:rsidR="00F21928" w:rsidRPr="00C51769" w:rsidRDefault="00F21928" w:rsidP="00C51769">
      <w:pPr>
        <w:rPr>
          <w:sz w:val="20"/>
          <w:szCs w:val="20"/>
        </w:rPr>
      </w:pPr>
      <w:r>
        <w:rPr>
          <w:sz w:val="20"/>
          <w:szCs w:val="20"/>
        </w:rPr>
        <w:t xml:space="preserve">In the LS, they have the following three questions. </w:t>
      </w:r>
      <w:r w:rsidR="00836CEB">
        <w:rPr>
          <w:sz w:val="20"/>
          <w:szCs w:val="20"/>
        </w:rPr>
        <w:t>In the next, we would like to share our views on their questions.</w:t>
      </w:r>
    </w:p>
    <w:p w14:paraId="1691B8EC" w14:textId="77777777" w:rsidR="00696860" w:rsidRDefault="00696860" w:rsidP="00F21928">
      <w:pPr>
        <w:pStyle w:val="CRCoverPage"/>
        <w:spacing w:after="0"/>
        <w:rPr>
          <w:rFonts w:eastAsiaTheme="minorEastAsia"/>
          <w:noProof/>
          <w:lang w:eastAsia="zh-CN"/>
        </w:rPr>
      </w:pPr>
    </w:p>
    <w:tbl>
      <w:tblPr>
        <w:tblStyle w:val="TableGrid"/>
        <w:tblW w:w="0" w:type="auto"/>
        <w:tblInd w:w="100" w:type="dxa"/>
        <w:tblLook w:val="04A0" w:firstRow="1" w:lastRow="0" w:firstColumn="1" w:lastColumn="0" w:noHBand="0" w:noVBand="1"/>
      </w:tblPr>
      <w:tblGrid>
        <w:gridCol w:w="9529"/>
      </w:tblGrid>
      <w:tr w:rsidR="00696860" w14:paraId="5A97F615" w14:textId="77777777" w:rsidTr="00696860">
        <w:tc>
          <w:tcPr>
            <w:tcW w:w="9629" w:type="dxa"/>
          </w:tcPr>
          <w:p w14:paraId="12C85D9F" w14:textId="77777777" w:rsidR="00696860" w:rsidRPr="00F21928" w:rsidRDefault="00696860" w:rsidP="00696860">
            <w:pPr>
              <w:rPr>
                <w:rFonts w:ascii="Arial" w:eastAsia="等线" w:hAnsi="Arial" w:cs="Arial"/>
                <w:sz w:val="18"/>
                <w:szCs w:val="20"/>
              </w:rPr>
            </w:pPr>
            <w:r w:rsidRPr="00F21928">
              <w:rPr>
                <w:rFonts w:ascii="Arial" w:eastAsia="等线" w:hAnsi="Arial" w:cs="Arial"/>
                <w:sz w:val="18"/>
                <w:szCs w:val="20"/>
              </w:rPr>
              <w:t>RAN2 would like to know the answers for the following three questions:</w:t>
            </w:r>
          </w:p>
          <w:p w14:paraId="2BBC5602" w14:textId="77777777" w:rsidR="00696860" w:rsidRPr="00F21928" w:rsidRDefault="00696860" w:rsidP="00696860">
            <w:pPr>
              <w:pStyle w:val="ListParagraph"/>
              <w:widowControl/>
              <w:numPr>
                <w:ilvl w:val="0"/>
                <w:numId w:val="53"/>
              </w:numPr>
              <w:overflowPunct w:val="0"/>
              <w:autoSpaceDE w:val="0"/>
              <w:autoSpaceDN w:val="0"/>
              <w:adjustRightInd w:val="0"/>
              <w:spacing w:after="180"/>
              <w:textAlignment w:val="baseline"/>
              <w:rPr>
                <w:rFonts w:ascii="Arial" w:hAnsi="Arial" w:cs="Arial"/>
                <w:sz w:val="18"/>
                <w:szCs w:val="20"/>
              </w:rPr>
            </w:pPr>
            <w:r w:rsidRPr="00F21928">
              <w:rPr>
                <w:rFonts w:ascii="Arial" w:hAnsi="Arial" w:cs="Arial"/>
                <w:sz w:val="18"/>
                <w:szCs w:val="20"/>
              </w:rPr>
              <w:t xml:space="preserve">As far as the network configures </w:t>
            </w:r>
            <w:proofErr w:type="gramStart"/>
            <w:r w:rsidRPr="00F21928">
              <w:rPr>
                <w:rFonts w:ascii="Arial" w:hAnsi="Arial" w:cs="Arial"/>
                <w:sz w:val="18"/>
                <w:szCs w:val="20"/>
              </w:rPr>
              <w:t>a number of</w:t>
            </w:r>
            <w:proofErr w:type="gramEnd"/>
            <w:r w:rsidRPr="00F21928">
              <w:rPr>
                <w:rFonts w:ascii="Arial" w:hAnsi="Arial" w:cs="Arial"/>
                <w:sz w:val="18"/>
                <w:szCs w:val="20"/>
              </w:rPr>
              <w:t xml:space="preserve"> total serving cell(s) + SpCell/SCell(s) in LTM candidate configurations which is up to</w:t>
            </w:r>
            <w:r w:rsidRPr="00F21928">
              <w:rPr>
                <w:rFonts w:ascii="Arial" w:hAnsi="Arial" w:cs="Arial"/>
                <w:i/>
                <w:iCs/>
                <w:sz w:val="18"/>
                <w:szCs w:val="20"/>
              </w:rPr>
              <w:t xml:space="preserve"> maxNumberStoredConfigCells</w:t>
            </w:r>
            <w:r w:rsidRPr="00F21928">
              <w:rPr>
                <w:rFonts w:ascii="Arial" w:hAnsi="Arial" w:cs="Arial"/>
                <w:sz w:val="18"/>
                <w:szCs w:val="20"/>
              </w:rPr>
              <w:t xml:space="preserve"> and where up to </w:t>
            </w:r>
            <w:r w:rsidRPr="00F21928">
              <w:rPr>
                <w:rFonts w:ascii="Arial" w:hAnsi="Arial" w:cs="Arial"/>
                <w:i/>
                <w:iCs/>
                <w:sz w:val="18"/>
                <w:szCs w:val="20"/>
              </w:rPr>
              <w:t>maxNumberConfigs</w:t>
            </w:r>
            <w:r w:rsidRPr="00F21928">
              <w:rPr>
                <w:rFonts w:ascii="Arial" w:hAnsi="Arial" w:cs="Arial"/>
                <w:sz w:val="18"/>
                <w:szCs w:val="20"/>
              </w:rPr>
              <w:t xml:space="preserve"> LTM candidate configurations are included within the configured total cells, is it the correct understanding that UE will be capable of performing early ASN.1 decoding on all the configured LTM candidate configurations?</w:t>
            </w:r>
          </w:p>
          <w:p w14:paraId="733C5BDF" w14:textId="77777777" w:rsidR="00696860" w:rsidRPr="00F21928" w:rsidRDefault="00696860" w:rsidP="00696860">
            <w:pPr>
              <w:pStyle w:val="ListParagraph"/>
              <w:widowControl/>
              <w:numPr>
                <w:ilvl w:val="0"/>
                <w:numId w:val="53"/>
              </w:numPr>
              <w:overflowPunct w:val="0"/>
              <w:autoSpaceDE w:val="0"/>
              <w:autoSpaceDN w:val="0"/>
              <w:adjustRightInd w:val="0"/>
              <w:spacing w:after="180"/>
              <w:textAlignment w:val="baseline"/>
              <w:rPr>
                <w:rFonts w:ascii="Arial" w:hAnsi="Arial" w:cs="Arial"/>
                <w:sz w:val="18"/>
                <w:szCs w:val="20"/>
              </w:rPr>
            </w:pPr>
            <w:r w:rsidRPr="00F21928">
              <w:rPr>
                <w:rFonts w:ascii="Arial" w:hAnsi="Arial" w:cs="Arial"/>
                <w:sz w:val="18"/>
                <w:szCs w:val="20"/>
              </w:rPr>
              <w:t>Does the UE need to know the number of SpCells and SCells within the configured LTM candidate configurations before doing the early ASN.1 decoding of an LTM candidate configuration?</w:t>
            </w:r>
          </w:p>
          <w:p w14:paraId="70071405" w14:textId="25BF8A4A" w:rsidR="00696860" w:rsidRPr="00696860" w:rsidRDefault="00696860" w:rsidP="00696860">
            <w:pPr>
              <w:pStyle w:val="ListParagraph"/>
              <w:widowControl/>
              <w:numPr>
                <w:ilvl w:val="0"/>
                <w:numId w:val="53"/>
              </w:numPr>
              <w:overflowPunct w:val="0"/>
              <w:autoSpaceDE w:val="0"/>
              <w:autoSpaceDN w:val="0"/>
              <w:adjustRightInd w:val="0"/>
              <w:spacing w:after="180"/>
              <w:textAlignment w:val="baseline"/>
              <w:rPr>
                <w:rFonts w:ascii="Arial" w:hAnsi="Arial" w:cs="Arial"/>
              </w:rPr>
            </w:pPr>
            <w:bookmarkStart w:id="15" w:name="OLE_LINK16"/>
            <w:r w:rsidRPr="00F21928">
              <w:rPr>
                <w:rFonts w:ascii="Arial" w:hAnsi="Arial" w:cs="Arial"/>
                <w:sz w:val="18"/>
                <w:szCs w:val="20"/>
              </w:rPr>
              <w:lastRenderedPageBreak/>
              <w:t xml:space="preserve">Is it possible that the number of serving cell(s) + SpCell/SCell(s) in LTM candidate configurations exceeds the UE reported </w:t>
            </w:r>
            <w:r w:rsidRPr="00F21928">
              <w:rPr>
                <w:rFonts w:ascii="Arial" w:hAnsi="Arial" w:cs="Arial"/>
                <w:i/>
                <w:iCs/>
                <w:sz w:val="18"/>
                <w:szCs w:val="20"/>
              </w:rPr>
              <w:t>maxNumberStoredConfigCells</w:t>
            </w:r>
            <w:r w:rsidRPr="00F21928">
              <w:rPr>
                <w:rFonts w:ascii="Arial" w:hAnsi="Arial" w:cs="Arial"/>
                <w:sz w:val="18"/>
                <w:szCs w:val="20"/>
              </w:rPr>
              <w:t>?</w:t>
            </w:r>
            <w:bookmarkEnd w:id="15"/>
          </w:p>
        </w:tc>
      </w:tr>
    </w:tbl>
    <w:p w14:paraId="2CABF5F5" w14:textId="77777777" w:rsidR="00961C55" w:rsidRDefault="00961C55" w:rsidP="00F21928">
      <w:pPr>
        <w:rPr>
          <w:sz w:val="20"/>
          <w:szCs w:val="20"/>
        </w:rPr>
      </w:pPr>
    </w:p>
    <w:p w14:paraId="7C2D4C73" w14:textId="77777777" w:rsidR="00D02492" w:rsidRPr="00D02492" w:rsidRDefault="006E5619" w:rsidP="00D02492">
      <w:pPr>
        <w:widowControl/>
        <w:overflowPunct w:val="0"/>
        <w:autoSpaceDE w:val="0"/>
        <w:autoSpaceDN w:val="0"/>
        <w:adjustRightInd w:val="0"/>
        <w:spacing w:after="180"/>
        <w:textAlignment w:val="baseline"/>
        <w:rPr>
          <w:rFonts w:ascii="Arial" w:hAnsi="Arial" w:cs="Arial"/>
          <w:sz w:val="18"/>
          <w:szCs w:val="20"/>
          <w:lang w:eastAsia="en-US"/>
        </w:rPr>
      </w:pPr>
      <w:r w:rsidRPr="00D02492">
        <w:rPr>
          <w:b/>
          <w:bCs/>
          <w:sz w:val="20"/>
          <w:szCs w:val="20"/>
          <w:u w:val="single"/>
        </w:rPr>
        <w:t>Question 1:</w:t>
      </w:r>
      <w:r w:rsidRPr="00D02492">
        <w:rPr>
          <w:sz w:val="20"/>
          <w:szCs w:val="20"/>
        </w:rPr>
        <w:t xml:space="preserve"> </w:t>
      </w:r>
      <w:r w:rsidR="00D02492" w:rsidRPr="00D02492">
        <w:rPr>
          <w:rFonts w:ascii="Arial" w:hAnsi="Arial" w:cs="Arial"/>
          <w:sz w:val="18"/>
          <w:szCs w:val="20"/>
        </w:rPr>
        <w:t xml:space="preserve">As far as the network configures </w:t>
      </w:r>
      <w:proofErr w:type="gramStart"/>
      <w:r w:rsidR="00D02492" w:rsidRPr="00D02492">
        <w:rPr>
          <w:rFonts w:ascii="Arial" w:hAnsi="Arial" w:cs="Arial"/>
          <w:sz w:val="18"/>
          <w:szCs w:val="20"/>
        </w:rPr>
        <w:t>a number of</w:t>
      </w:r>
      <w:proofErr w:type="gramEnd"/>
      <w:r w:rsidR="00D02492" w:rsidRPr="00D02492">
        <w:rPr>
          <w:rFonts w:ascii="Arial" w:hAnsi="Arial" w:cs="Arial"/>
          <w:sz w:val="18"/>
          <w:szCs w:val="20"/>
        </w:rPr>
        <w:t xml:space="preserve"> total serving cell(s) + SpCell/SCell(s) in LTM candidate configurations which is up to</w:t>
      </w:r>
      <w:r w:rsidR="00D02492" w:rsidRPr="00D02492">
        <w:rPr>
          <w:rFonts w:ascii="Arial" w:hAnsi="Arial" w:cs="Arial"/>
          <w:i/>
          <w:iCs/>
          <w:sz w:val="18"/>
          <w:szCs w:val="20"/>
        </w:rPr>
        <w:t xml:space="preserve"> maxNumberStoredConfigCells</w:t>
      </w:r>
      <w:r w:rsidR="00D02492" w:rsidRPr="00D02492">
        <w:rPr>
          <w:rFonts w:ascii="Arial" w:hAnsi="Arial" w:cs="Arial"/>
          <w:sz w:val="18"/>
          <w:szCs w:val="20"/>
        </w:rPr>
        <w:t xml:space="preserve"> and where up to </w:t>
      </w:r>
      <w:r w:rsidR="00D02492" w:rsidRPr="00D02492">
        <w:rPr>
          <w:rFonts w:ascii="Arial" w:hAnsi="Arial" w:cs="Arial"/>
          <w:i/>
          <w:iCs/>
          <w:sz w:val="18"/>
          <w:szCs w:val="20"/>
        </w:rPr>
        <w:t>maxNumberConfigs</w:t>
      </w:r>
      <w:r w:rsidR="00D02492" w:rsidRPr="00D02492">
        <w:rPr>
          <w:rFonts w:ascii="Arial" w:hAnsi="Arial" w:cs="Arial"/>
          <w:sz w:val="18"/>
          <w:szCs w:val="20"/>
        </w:rPr>
        <w:t xml:space="preserve"> LTM candidate configurations are included within the configured total cells, is it the correct understanding that UE will be capable of performing early ASN.1 decoding on all the configured LTM candidate configurations?</w:t>
      </w:r>
    </w:p>
    <w:p w14:paraId="54E77F6D" w14:textId="70DAD14F" w:rsidR="006E5619" w:rsidRDefault="006E5619" w:rsidP="00F21928">
      <w:pPr>
        <w:rPr>
          <w:sz w:val="20"/>
          <w:szCs w:val="20"/>
        </w:rPr>
      </w:pPr>
    </w:p>
    <w:p w14:paraId="27BB10EE" w14:textId="40B82038" w:rsidR="00961C55" w:rsidRDefault="006E5619" w:rsidP="00F21928">
      <w:pPr>
        <w:rPr>
          <w:sz w:val="20"/>
          <w:szCs w:val="20"/>
        </w:rPr>
      </w:pPr>
      <w:r>
        <w:rPr>
          <w:sz w:val="20"/>
          <w:szCs w:val="20"/>
        </w:rPr>
        <w:t xml:space="preserve">The answer is yes according to </w:t>
      </w:r>
      <w:r w:rsidR="00AE5E90">
        <w:rPr>
          <w:sz w:val="20"/>
          <w:szCs w:val="20"/>
        </w:rPr>
        <w:t>the following condition for “</w:t>
      </w:r>
      <w:r w:rsidR="00AE5E90">
        <w:t>T</w:t>
      </w:r>
      <w:r w:rsidR="00AE5E90">
        <w:rPr>
          <w:vertAlign w:val="subscript"/>
        </w:rPr>
        <w:t>LTM-RRC-processing</w:t>
      </w:r>
      <w:r w:rsidR="00AE5E90">
        <w:t xml:space="preserve"> = 0</w:t>
      </w:r>
      <w:r w:rsidR="00AE5E90">
        <w:rPr>
          <w:sz w:val="20"/>
          <w:szCs w:val="20"/>
        </w:rPr>
        <w:t>”</w:t>
      </w:r>
    </w:p>
    <w:p w14:paraId="7A517306" w14:textId="68F60875" w:rsidR="00AE5E90" w:rsidRDefault="00AE5E90" w:rsidP="00F21928">
      <w:pPr>
        <w:rPr>
          <w:sz w:val="20"/>
          <w:szCs w:val="20"/>
        </w:rPr>
      </w:pPr>
      <w:r w:rsidRPr="00AE5E90">
        <w:rPr>
          <w:noProof/>
          <w:sz w:val="20"/>
          <w:szCs w:val="20"/>
        </w:rPr>
        <w:drawing>
          <wp:inline distT="0" distB="0" distL="0" distR="0" wp14:anchorId="41AF689D" wp14:editId="530DC1EE">
            <wp:extent cx="5051205" cy="7289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98766" cy="735802"/>
                    </a:xfrm>
                    <a:prstGeom prst="rect">
                      <a:avLst/>
                    </a:prstGeom>
                  </pic:spPr>
                </pic:pic>
              </a:graphicData>
            </a:graphic>
          </wp:inline>
        </w:drawing>
      </w:r>
    </w:p>
    <w:p w14:paraId="7038B155" w14:textId="747B3C26" w:rsidR="004777D2" w:rsidRDefault="004777D2" w:rsidP="004777D2">
      <w:pPr>
        <w:spacing w:beforeLines="50" w:before="120" w:afterLines="50" w:after="120"/>
        <w:rPr>
          <w:rFonts w:cstheme="minorHAnsi"/>
          <w:b/>
          <w:sz w:val="20"/>
          <w:szCs w:val="20"/>
        </w:rPr>
      </w:pPr>
      <w:r>
        <w:rPr>
          <w:rFonts w:cstheme="minorHAnsi"/>
          <w:b/>
          <w:sz w:val="20"/>
          <w:szCs w:val="20"/>
        </w:rPr>
        <w:t xml:space="preserve">Proposal </w:t>
      </w:r>
      <w:r w:rsidR="00F179A4">
        <w:rPr>
          <w:rFonts w:cstheme="minorHAnsi"/>
          <w:b/>
          <w:sz w:val="20"/>
          <w:szCs w:val="20"/>
        </w:rPr>
        <w:t>9</w:t>
      </w:r>
      <w:r>
        <w:rPr>
          <w:rFonts w:cstheme="minorHAnsi"/>
          <w:b/>
          <w:sz w:val="20"/>
          <w:szCs w:val="20"/>
        </w:rPr>
        <w:t xml:space="preserve">: </w:t>
      </w:r>
      <w:r w:rsidR="00D36D97">
        <w:rPr>
          <w:rFonts w:cstheme="minorHAnsi"/>
          <w:b/>
          <w:sz w:val="20"/>
          <w:szCs w:val="20"/>
        </w:rPr>
        <w:t>For Q1, c</w:t>
      </w:r>
      <w:r>
        <w:rPr>
          <w:rFonts w:cstheme="minorHAnsi"/>
          <w:b/>
          <w:sz w:val="20"/>
          <w:szCs w:val="20"/>
        </w:rPr>
        <w:t xml:space="preserve">onfirm RAN2’s understanding that if </w:t>
      </w:r>
      <w:r w:rsidRPr="004777D2">
        <w:rPr>
          <w:rFonts w:cstheme="minorHAnsi"/>
          <w:b/>
          <w:sz w:val="20"/>
          <w:szCs w:val="20"/>
        </w:rPr>
        <w:t xml:space="preserve">the network configures </w:t>
      </w:r>
      <w:proofErr w:type="gramStart"/>
      <w:r w:rsidRPr="004777D2">
        <w:rPr>
          <w:rFonts w:cstheme="minorHAnsi"/>
          <w:b/>
          <w:sz w:val="20"/>
          <w:szCs w:val="20"/>
        </w:rPr>
        <w:t>a number of</w:t>
      </w:r>
      <w:proofErr w:type="gramEnd"/>
      <w:r w:rsidRPr="004777D2">
        <w:rPr>
          <w:rFonts w:cstheme="minorHAnsi"/>
          <w:b/>
          <w:sz w:val="20"/>
          <w:szCs w:val="20"/>
        </w:rPr>
        <w:t xml:space="preserve"> total serving cell(s) + SpCell/SCell(s) in LTM candidate configurations which is up to maxNumberStoredConfigCells and where up to maxNumberConfigs LTM candidate configurations are included within the configured total cells, UE will be capable of performing early ASN.1 decoding on all the configured LTM candidate configurations</w:t>
      </w:r>
      <w:r>
        <w:rPr>
          <w:rFonts w:cstheme="minorHAnsi"/>
          <w:b/>
          <w:sz w:val="20"/>
          <w:szCs w:val="20"/>
        </w:rPr>
        <w:t xml:space="preserve">. </w:t>
      </w:r>
    </w:p>
    <w:p w14:paraId="365F07C0" w14:textId="77777777" w:rsidR="004777D2" w:rsidRDefault="004777D2" w:rsidP="00F21928">
      <w:pPr>
        <w:rPr>
          <w:b/>
          <w:bCs/>
          <w:sz w:val="20"/>
          <w:szCs w:val="20"/>
          <w:u w:val="single"/>
        </w:rPr>
      </w:pPr>
    </w:p>
    <w:p w14:paraId="07AC682C" w14:textId="77777777" w:rsidR="00D02492" w:rsidRPr="00D02492" w:rsidRDefault="006E5619" w:rsidP="00D02492">
      <w:pPr>
        <w:widowControl/>
        <w:overflowPunct w:val="0"/>
        <w:autoSpaceDE w:val="0"/>
        <w:autoSpaceDN w:val="0"/>
        <w:adjustRightInd w:val="0"/>
        <w:spacing w:after="180"/>
        <w:textAlignment w:val="baseline"/>
        <w:rPr>
          <w:rFonts w:ascii="Arial" w:hAnsi="Arial" w:cs="Arial"/>
          <w:sz w:val="18"/>
          <w:szCs w:val="20"/>
          <w:lang w:eastAsia="en-US"/>
        </w:rPr>
      </w:pPr>
      <w:r w:rsidRPr="00D02492">
        <w:rPr>
          <w:b/>
          <w:bCs/>
          <w:sz w:val="20"/>
          <w:szCs w:val="20"/>
          <w:u w:val="single"/>
        </w:rPr>
        <w:t xml:space="preserve">Question 2: </w:t>
      </w:r>
      <w:r w:rsidR="00D02492" w:rsidRPr="00D02492">
        <w:rPr>
          <w:rFonts w:ascii="Arial" w:hAnsi="Arial" w:cs="Arial"/>
          <w:sz w:val="18"/>
          <w:szCs w:val="20"/>
        </w:rPr>
        <w:t>Does the UE need to know the number of SpCells and SCells within the configured LTM candidate configurations before doing the early ASN.1 decoding of an LTM candidate configuration?</w:t>
      </w:r>
    </w:p>
    <w:p w14:paraId="51ACA7C8" w14:textId="7C252357" w:rsidR="006E5619" w:rsidRDefault="006E5619" w:rsidP="00F21928">
      <w:pPr>
        <w:rPr>
          <w:b/>
          <w:bCs/>
          <w:sz w:val="20"/>
          <w:szCs w:val="20"/>
          <w:u w:val="single"/>
        </w:rPr>
      </w:pPr>
    </w:p>
    <w:p w14:paraId="0B923B4F" w14:textId="61553D9E" w:rsidR="00AE5E90" w:rsidRDefault="00AE5E90" w:rsidP="00F21928">
      <w:pPr>
        <w:rPr>
          <w:sz w:val="20"/>
          <w:szCs w:val="20"/>
        </w:rPr>
      </w:pPr>
      <w:r w:rsidRPr="00AE5E90">
        <w:rPr>
          <w:sz w:val="20"/>
          <w:szCs w:val="20"/>
        </w:rPr>
        <w:t>The question is related to the chicken-egg problem mentioned above.</w:t>
      </w:r>
      <w:r>
        <w:rPr>
          <w:sz w:val="20"/>
          <w:szCs w:val="20"/>
        </w:rPr>
        <w:t xml:space="preserve"> In our view, without the information, </w:t>
      </w:r>
      <w:r w:rsidRPr="00AE5E90">
        <w:rPr>
          <w:sz w:val="20"/>
          <w:szCs w:val="20"/>
        </w:rPr>
        <w:t xml:space="preserve">the number of SpCells and SCells within the </w:t>
      </w:r>
      <w:r>
        <w:rPr>
          <w:sz w:val="20"/>
          <w:szCs w:val="20"/>
        </w:rPr>
        <w:t xml:space="preserve">to-be-decoded </w:t>
      </w:r>
      <w:r w:rsidRPr="00AE5E90">
        <w:rPr>
          <w:sz w:val="20"/>
          <w:szCs w:val="20"/>
        </w:rPr>
        <w:t>LTM candidate configuration</w:t>
      </w:r>
      <w:r>
        <w:rPr>
          <w:sz w:val="20"/>
          <w:szCs w:val="20"/>
        </w:rPr>
        <w:t>(</w:t>
      </w:r>
      <w:r w:rsidRPr="00AE5E90">
        <w:rPr>
          <w:sz w:val="20"/>
          <w:szCs w:val="20"/>
        </w:rPr>
        <w:t>s</w:t>
      </w:r>
      <w:r>
        <w:rPr>
          <w:sz w:val="20"/>
          <w:szCs w:val="20"/>
        </w:rPr>
        <w:t xml:space="preserve">), UE can perform early decoding. After decoding, if </w:t>
      </w:r>
      <w:r w:rsidRPr="00AE5E90">
        <w:rPr>
          <w:sz w:val="20"/>
          <w:szCs w:val="20"/>
        </w:rPr>
        <w:t xml:space="preserve">the number of serving cell(s) + SpCell/SCell(s) in </w:t>
      </w:r>
      <w:r>
        <w:rPr>
          <w:sz w:val="20"/>
          <w:szCs w:val="20"/>
        </w:rPr>
        <w:t xml:space="preserve">decoded </w:t>
      </w:r>
      <w:r w:rsidRPr="00AE5E90">
        <w:rPr>
          <w:sz w:val="20"/>
          <w:szCs w:val="20"/>
        </w:rPr>
        <w:t>LTM candidate configuration</w:t>
      </w:r>
      <w:r>
        <w:rPr>
          <w:sz w:val="20"/>
          <w:szCs w:val="20"/>
        </w:rPr>
        <w:t>(</w:t>
      </w:r>
      <w:r w:rsidRPr="00AE5E90">
        <w:rPr>
          <w:sz w:val="20"/>
          <w:szCs w:val="20"/>
        </w:rPr>
        <w:t>s</w:t>
      </w:r>
      <w:r>
        <w:rPr>
          <w:sz w:val="20"/>
          <w:szCs w:val="20"/>
        </w:rPr>
        <w:t xml:space="preserve">) exceeds </w:t>
      </w:r>
      <w:r w:rsidRPr="00AE5E90">
        <w:rPr>
          <w:sz w:val="20"/>
          <w:szCs w:val="20"/>
        </w:rPr>
        <w:t>maxNumberStoredConfigCells</w:t>
      </w:r>
      <w:r>
        <w:rPr>
          <w:sz w:val="20"/>
          <w:szCs w:val="20"/>
        </w:rPr>
        <w:t xml:space="preserve">, UE may fail to store them. At cell switch, UE still needs extra time to perform RRC </w:t>
      </w:r>
      <w:proofErr w:type="gramStart"/>
      <w:r>
        <w:rPr>
          <w:sz w:val="20"/>
          <w:szCs w:val="20"/>
        </w:rPr>
        <w:t>decoding</w:t>
      </w:r>
      <w:proofErr w:type="gramEnd"/>
      <w:r>
        <w:rPr>
          <w:sz w:val="20"/>
          <w:szCs w:val="20"/>
        </w:rPr>
        <w:t xml:space="preserve"> and validity check</w:t>
      </w:r>
      <w:r w:rsidR="006A7A4E">
        <w:rPr>
          <w:sz w:val="20"/>
          <w:szCs w:val="20"/>
        </w:rPr>
        <w:t xml:space="preserve"> again</w:t>
      </w:r>
      <w:r>
        <w:rPr>
          <w:sz w:val="20"/>
          <w:szCs w:val="20"/>
        </w:rPr>
        <w:t xml:space="preserve">. Doing </w:t>
      </w:r>
      <w:r w:rsidR="004777D2">
        <w:rPr>
          <w:sz w:val="20"/>
          <w:szCs w:val="20"/>
        </w:rPr>
        <w:t>like this</w:t>
      </w:r>
      <w:r>
        <w:rPr>
          <w:sz w:val="20"/>
          <w:szCs w:val="20"/>
        </w:rPr>
        <w:t xml:space="preserve">, </w:t>
      </w:r>
      <w:r w:rsidR="004777D2">
        <w:rPr>
          <w:sz w:val="20"/>
          <w:szCs w:val="20"/>
        </w:rPr>
        <w:t>it is just a waste of UE efforts and power.</w:t>
      </w:r>
    </w:p>
    <w:p w14:paraId="7764F8F8" w14:textId="5CCDBA46" w:rsidR="005714A9" w:rsidRDefault="004777D2" w:rsidP="00F21928">
      <w:pPr>
        <w:rPr>
          <w:sz w:val="20"/>
          <w:szCs w:val="20"/>
        </w:rPr>
      </w:pPr>
      <w:r>
        <w:rPr>
          <w:sz w:val="20"/>
          <w:szCs w:val="20"/>
        </w:rPr>
        <w:t xml:space="preserve">With the prior information, the number of SpCells and SCells within the to-be-decoded LTM candidate configuration(s), UE can determine whether to perform early decoding </w:t>
      </w:r>
      <w:r w:rsidR="00CD0055">
        <w:rPr>
          <w:sz w:val="20"/>
          <w:szCs w:val="20"/>
        </w:rPr>
        <w:t xml:space="preserve">avoiding the waste of UE efforts and power. In </w:t>
      </w:r>
      <w:r w:rsidR="005714A9">
        <w:rPr>
          <w:sz w:val="20"/>
          <w:szCs w:val="20"/>
        </w:rPr>
        <w:t>our understanding,</w:t>
      </w:r>
      <w:r w:rsidR="00CD0055">
        <w:rPr>
          <w:sz w:val="20"/>
          <w:szCs w:val="20"/>
        </w:rPr>
        <w:t xml:space="preserve"> </w:t>
      </w:r>
      <w:r w:rsidR="005B4B61">
        <w:rPr>
          <w:sz w:val="20"/>
          <w:szCs w:val="20"/>
        </w:rPr>
        <w:t xml:space="preserve">there is almost no </w:t>
      </w:r>
      <w:r w:rsidR="002A7AA8">
        <w:rPr>
          <w:sz w:val="20"/>
          <w:szCs w:val="20"/>
        </w:rPr>
        <w:t xml:space="preserve">difficulty </w:t>
      </w:r>
      <w:r w:rsidR="00CD0055">
        <w:rPr>
          <w:sz w:val="20"/>
          <w:szCs w:val="20"/>
        </w:rPr>
        <w:t xml:space="preserve">to indicate </w:t>
      </w:r>
      <w:r w:rsidR="00CD0055" w:rsidRPr="00CD0055">
        <w:rPr>
          <w:sz w:val="20"/>
          <w:szCs w:val="20"/>
        </w:rPr>
        <w:t xml:space="preserve">the number of serving cells configured by </w:t>
      </w:r>
      <w:r w:rsidR="00CD0055">
        <w:rPr>
          <w:sz w:val="20"/>
          <w:szCs w:val="20"/>
        </w:rPr>
        <w:t>a</w:t>
      </w:r>
      <w:r w:rsidR="00CD0055" w:rsidRPr="00CD0055">
        <w:rPr>
          <w:sz w:val="20"/>
          <w:szCs w:val="20"/>
        </w:rPr>
        <w:t xml:space="preserve"> LTM candidate configuration</w:t>
      </w:r>
      <w:r w:rsidR="005B4B61">
        <w:rPr>
          <w:sz w:val="20"/>
          <w:szCs w:val="20"/>
        </w:rPr>
        <w:t xml:space="preserve"> at NW side</w:t>
      </w:r>
      <w:r w:rsidR="00CD0055">
        <w:rPr>
          <w:sz w:val="20"/>
          <w:szCs w:val="20"/>
        </w:rPr>
        <w:t>.</w:t>
      </w:r>
    </w:p>
    <w:p w14:paraId="3D6E0C11" w14:textId="12C22EBC" w:rsidR="005714A9" w:rsidRDefault="005714A9" w:rsidP="00F21928">
      <w:pPr>
        <w:rPr>
          <w:sz w:val="20"/>
          <w:szCs w:val="20"/>
        </w:rPr>
      </w:pPr>
      <w:r>
        <w:rPr>
          <w:sz w:val="20"/>
          <w:szCs w:val="20"/>
        </w:rPr>
        <w:t xml:space="preserve">To make the feature better, we propose to </w:t>
      </w:r>
      <w:r w:rsidRPr="005714A9">
        <w:rPr>
          <w:sz w:val="20"/>
          <w:szCs w:val="20"/>
        </w:rPr>
        <w:t>add a new field in LTM-Candidate IE to indicate the number of serving cells configured by this LTM candidate configuration.</w:t>
      </w:r>
    </w:p>
    <w:p w14:paraId="16684595" w14:textId="6D0CAE0B" w:rsidR="00836CEB" w:rsidRDefault="005714A9" w:rsidP="005714A9">
      <w:pPr>
        <w:spacing w:beforeLines="50" w:before="120" w:afterLines="50" w:after="120"/>
        <w:rPr>
          <w:rFonts w:cstheme="minorHAnsi"/>
          <w:b/>
          <w:sz w:val="20"/>
          <w:szCs w:val="20"/>
        </w:rPr>
      </w:pPr>
      <w:r>
        <w:rPr>
          <w:rFonts w:cstheme="minorHAnsi"/>
          <w:b/>
          <w:sz w:val="20"/>
          <w:szCs w:val="20"/>
        </w:rPr>
        <w:t xml:space="preserve">Proposal </w:t>
      </w:r>
      <w:r w:rsidR="00F179A4">
        <w:rPr>
          <w:rFonts w:cstheme="minorHAnsi"/>
          <w:b/>
          <w:sz w:val="20"/>
          <w:szCs w:val="20"/>
        </w:rPr>
        <w:t>10</w:t>
      </w:r>
      <w:r>
        <w:rPr>
          <w:rFonts w:cstheme="minorHAnsi"/>
          <w:b/>
          <w:sz w:val="20"/>
          <w:szCs w:val="20"/>
        </w:rPr>
        <w:t xml:space="preserve">: </w:t>
      </w:r>
      <w:r w:rsidR="00D36D97">
        <w:rPr>
          <w:rFonts w:cstheme="minorHAnsi"/>
          <w:b/>
          <w:sz w:val="20"/>
          <w:szCs w:val="20"/>
        </w:rPr>
        <w:t>For Q2, r</w:t>
      </w:r>
      <w:r w:rsidR="00836CEB">
        <w:rPr>
          <w:rFonts w:cstheme="minorHAnsi"/>
          <w:b/>
          <w:sz w:val="20"/>
          <w:szCs w:val="20"/>
        </w:rPr>
        <w:t>eply RAN2 that:</w:t>
      </w:r>
    </w:p>
    <w:p w14:paraId="4548FB81" w14:textId="1A147A5C" w:rsidR="00836CEB" w:rsidRDefault="00B57E84" w:rsidP="00836CEB">
      <w:pPr>
        <w:pStyle w:val="ListParagraph"/>
        <w:numPr>
          <w:ilvl w:val="0"/>
          <w:numId w:val="51"/>
        </w:numPr>
        <w:spacing w:beforeLines="50" w:before="120" w:afterLines="50" w:after="120"/>
        <w:rPr>
          <w:rFonts w:cstheme="minorHAnsi"/>
          <w:b/>
          <w:sz w:val="20"/>
          <w:szCs w:val="20"/>
          <w:lang w:eastAsia="x-none"/>
        </w:rPr>
      </w:pPr>
      <w:r>
        <w:rPr>
          <w:rFonts w:cstheme="minorHAnsi"/>
          <w:b/>
          <w:sz w:val="20"/>
          <w:szCs w:val="20"/>
          <w:lang w:eastAsia="zh-CN"/>
        </w:rPr>
        <w:t>No</w:t>
      </w:r>
      <w:r w:rsidR="00836CEB" w:rsidRPr="00836CEB">
        <w:rPr>
          <w:rFonts w:cstheme="minorHAnsi"/>
          <w:b/>
          <w:sz w:val="20"/>
          <w:szCs w:val="20"/>
        </w:rPr>
        <w:t xml:space="preserve">. </w:t>
      </w:r>
      <w:r w:rsidR="00836CEB">
        <w:rPr>
          <w:rFonts w:cstheme="minorHAnsi"/>
          <w:b/>
          <w:sz w:val="20"/>
          <w:szCs w:val="20"/>
        </w:rPr>
        <w:t xml:space="preserve">But if </w:t>
      </w:r>
      <w:r w:rsidR="00836CEB" w:rsidRPr="00836CEB">
        <w:rPr>
          <w:rFonts w:cstheme="minorHAnsi"/>
          <w:b/>
          <w:sz w:val="20"/>
          <w:szCs w:val="20"/>
        </w:rPr>
        <w:t>the number of serving cell(s) + SpCell/SCell(s) in decoded LTM candidate configuration(s) exceeds maxNumberStoredConfigCells,</w:t>
      </w:r>
      <w:r w:rsidR="00836CEB">
        <w:rPr>
          <w:rFonts w:cstheme="minorHAnsi"/>
          <w:b/>
          <w:sz w:val="20"/>
          <w:szCs w:val="20"/>
        </w:rPr>
        <w:t xml:space="preserve"> </w:t>
      </w:r>
      <w:r w:rsidR="00836CEB" w:rsidRPr="00836CEB">
        <w:rPr>
          <w:rFonts w:cstheme="minorHAnsi"/>
          <w:b/>
          <w:sz w:val="20"/>
          <w:szCs w:val="20"/>
        </w:rPr>
        <w:t xml:space="preserve">UE </w:t>
      </w:r>
      <w:r>
        <w:rPr>
          <w:rFonts w:cstheme="minorHAnsi"/>
          <w:b/>
          <w:sz w:val="20"/>
          <w:szCs w:val="20"/>
        </w:rPr>
        <w:t xml:space="preserve">will not store the decoded configurations and </w:t>
      </w:r>
      <w:r w:rsidR="00836CEB" w:rsidRPr="00836CEB">
        <w:rPr>
          <w:rFonts w:cstheme="minorHAnsi"/>
          <w:b/>
          <w:sz w:val="20"/>
          <w:szCs w:val="20"/>
        </w:rPr>
        <w:t xml:space="preserve">still needs extra time to perform RRC </w:t>
      </w:r>
      <w:proofErr w:type="gramStart"/>
      <w:r w:rsidR="00836CEB" w:rsidRPr="00836CEB">
        <w:rPr>
          <w:rFonts w:cstheme="minorHAnsi"/>
          <w:b/>
          <w:sz w:val="20"/>
          <w:szCs w:val="20"/>
        </w:rPr>
        <w:t>decoding</w:t>
      </w:r>
      <w:proofErr w:type="gramEnd"/>
      <w:r w:rsidR="00836CEB" w:rsidRPr="00836CEB">
        <w:rPr>
          <w:rFonts w:cstheme="minorHAnsi"/>
          <w:b/>
          <w:sz w:val="20"/>
          <w:szCs w:val="20"/>
        </w:rPr>
        <w:t xml:space="preserve"> and validity check</w:t>
      </w:r>
      <w:r w:rsidR="00836CEB">
        <w:rPr>
          <w:rFonts w:cstheme="minorHAnsi"/>
          <w:b/>
          <w:sz w:val="20"/>
          <w:szCs w:val="20"/>
        </w:rPr>
        <w:t xml:space="preserve"> </w:t>
      </w:r>
      <w:r>
        <w:rPr>
          <w:rFonts w:cstheme="minorHAnsi"/>
          <w:b/>
          <w:sz w:val="20"/>
          <w:szCs w:val="20"/>
        </w:rPr>
        <w:t xml:space="preserve">again </w:t>
      </w:r>
      <w:r w:rsidR="00836CEB">
        <w:rPr>
          <w:rFonts w:cstheme="minorHAnsi"/>
          <w:b/>
          <w:sz w:val="20"/>
          <w:szCs w:val="20"/>
        </w:rPr>
        <w:t xml:space="preserve">during cell switch. This </w:t>
      </w:r>
      <w:r w:rsidR="00987BBB">
        <w:rPr>
          <w:rFonts w:cstheme="minorHAnsi"/>
          <w:b/>
          <w:sz w:val="20"/>
          <w:szCs w:val="20"/>
        </w:rPr>
        <w:t>lead</w:t>
      </w:r>
      <w:r>
        <w:rPr>
          <w:rFonts w:cstheme="minorHAnsi"/>
          <w:b/>
          <w:sz w:val="20"/>
          <w:szCs w:val="20"/>
        </w:rPr>
        <w:t>s</w:t>
      </w:r>
      <w:r w:rsidR="00987BBB">
        <w:rPr>
          <w:rFonts w:cstheme="minorHAnsi"/>
          <w:b/>
          <w:sz w:val="20"/>
          <w:szCs w:val="20"/>
        </w:rPr>
        <w:t xml:space="preserve"> to</w:t>
      </w:r>
      <w:r w:rsidR="00836CEB">
        <w:rPr>
          <w:rFonts w:cstheme="minorHAnsi"/>
          <w:b/>
          <w:sz w:val="20"/>
          <w:szCs w:val="20"/>
        </w:rPr>
        <w:t xml:space="preserve"> </w:t>
      </w:r>
      <w:r w:rsidR="00836CEB" w:rsidRPr="00836CEB">
        <w:rPr>
          <w:rFonts w:cstheme="minorHAnsi"/>
          <w:b/>
          <w:sz w:val="20"/>
          <w:szCs w:val="20"/>
        </w:rPr>
        <w:t>a waste of UE efforts and power</w:t>
      </w:r>
      <w:r w:rsidR="00D02492">
        <w:rPr>
          <w:rFonts w:cstheme="minorHAnsi"/>
          <w:b/>
          <w:sz w:val="20"/>
          <w:szCs w:val="20"/>
        </w:rPr>
        <w:t>,</w:t>
      </w:r>
      <w:r w:rsidR="00836CEB">
        <w:rPr>
          <w:rFonts w:cstheme="minorHAnsi"/>
          <w:b/>
          <w:sz w:val="20"/>
          <w:szCs w:val="20"/>
        </w:rPr>
        <w:t xml:space="preserve"> and not preferred in RAN4.</w:t>
      </w:r>
    </w:p>
    <w:p w14:paraId="0DBE1FC7" w14:textId="7129840E" w:rsidR="005714A9" w:rsidRPr="00836CEB" w:rsidRDefault="00D02492" w:rsidP="00836CEB">
      <w:pPr>
        <w:pStyle w:val="ListParagraph"/>
        <w:numPr>
          <w:ilvl w:val="0"/>
          <w:numId w:val="51"/>
        </w:numPr>
        <w:spacing w:beforeLines="50" w:before="120" w:afterLines="50" w:after="120"/>
        <w:rPr>
          <w:rFonts w:cstheme="minorHAnsi"/>
          <w:b/>
          <w:sz w:val="20"/>
          <w:szCs w:val="20"/>
          <w:lang w:eastAsia="x-none"/>
        </w:rPr>
      </w:pPr>
      <w:r>
        <w:rPr>
          <w:rFonts w:cstheme="minorHAnsi"/>
          <w:b/>
          <w:sz w:val="20"/>
          <w:szCs w:val="20"/>
        </w:rPr>
        <w:t xml:space="preserve">RAN4 suggests RAN2 adding </w:t>
      </w:r>
      <w:r w:rsidRPr="00D02492">
        <w:rPr>
          <w:rFonts w:cstheme="minorHAnsi"/>
          <w:b/>
          <w:sz w:val="20"/>
          <w:szCs w:val="20"/>
        </w:rPr>
        <w:t>a new field in LTM-Candidate IE to indicate the number of serving cells configured by this LTM candidate configuration</w:t>
      </w:r>
      <w:r>
        <w:rPr>
          <w:rFonts w:cstheme="minorHAnsi"/>
          <w:b/>
          <w:sz w:val="20"/>
          <w:szCs w:val="20"/>
        </w:rPr>
        <w:t xml:space="preserve"> to avoid potential waste of UE efforts and power.</w:t>
      </w:r>
      <w:r w:rsidR="005714A9" w:rsidRPr="00836CEB">
        <w:rPr>
          <w:rFonts w:cstheme="minorHAnsi"/>
          <w:b/>
          <w:sz w:val="20"/>
          <w:szCs w:val="20"/>
        </w:rPr>
        <w:t xml:space="preserve"> </w:t>
      </w:r>
    </w:p>
    <w:p w14:paraId="1801331E" w14:textId="55C95C1B" w:rsidR="00AE5E90" w:rsidRPr="00125AD1" w:rsidRDefault="00CD0055" w:rsidP="00F21928">
      <w:pPr>
        <w:rPr>
          <w:sz w:val="20"/>
          <w:szCs w:val="20"/>
        </w:rPr>
      </w:pPr>
      <w:r>
        <w:rPr>
          <w:sz w:val="20"/>
          <w:szCs w:val="20"/>
        </w:rPr>
        <w:t xml:space="preserve"> </w:t>
      </w:r>
    </w:p>
    <w:p w14:paraId="65C88E58" w14:textId="2D83DA57" w:rsidR="00D02492" w:rsidRDefault="00D02492" w:rsidP="00D02492">
      <w:pPr>
        <w:rPr>
          <w:b/>
          <w:bCs/>
          <w:sz w:val="20"/>
          <w:szCs w:val="20"/>
          <w:u w:val="single"/>
        </w:rPr>
      </w:pPr>
      <w:r>
        <w:rPr>
          <w:b/>
          <w:bCs/>
          <w:sz w:val="20"/>
          <w:szCs w:val="20"/>
          <w:u w:val="single"/>
        </w:rPr>
        <w:t xml:space="preserve">Question 3: </w:t>
      </w:r>
      <w:r>
        <w:rPr>
          <w:rFonts w:ascii="Arial" w:hAnsi="Arial" w:cs="Arial"/>
          <w:sz w:val="18"/>
          <w:szCs w:val="20"/>
        </w:rPr>
        <w:t xml:space="preserve">Is it possible that the number of serving cell(s) + SpCell/SCell(s) in LTM candidate configurations exceeds the UE reported </w:t>
      </w:r>
      <w:r>
        <w:rPr>
          <w:rFonts w:ascii="Arial" w:hAnsi="Arial" w:cs="Arial"/>
          <w:i/>
          <w:iCs/>
          <w:sz w:val="18"/>
          <w:szCs w:val="20"/>
        </w:rPr>
        <w:t>maxNumberStoredConfigCells</w:t>
      </w:r>
      <w:r>
        <w:rPr>
          <w:rFonts w:ascii="Arial" w:hAnsi="Arial" w:cs="Arial"/>
          <w:sz w:val="18"/>
          <w:szCs w:val="20"/>
        </w:rPr>
        <w:t>?</w:t>
      </w:r>
    </w:p>
    <w:p w14:paraId="476C9D64" w14:textId="77777777" w:rsidR="00AE5E90" w:rsidRPr="00AE5E90" w:rsidRDefault="00AE5E90" w:rsidP="00F21928">
      <w:pPr>
        <w:rPr>
          <w:rFonts w:ascii="Arial" w:hAnsi="Arial" w:cs="Arial"/>
          <w:sz w:val="18"/>
          <w:szCs w:val="20"/>
        </w:rPr>
      </w:pPr>
    </w:p>
    <w:p w14:paraId="171DFC85" w14:textId="7951A321" w:rsidR="005E5CA6" w:rsidRDefault="00D02492" w:rsidP="005E5CA6">
      <w:pPr>
        <w:rPr>
          <w:sz w:val="20"/>
          <w:szCs w:val="20"/>
        </w:rPr>
      </w:pPr>
      <w:r>
        <w:rPr>
          <w:sz w:val="20"/>
          <w:szCs w:val="20"/>
        </w:rPr>
        <w:t>The capability “ltm-FastProcessingConfig-r18” is optional. Pre-configuration is an essential step to enable LTM. Without early decoding, cell switch is still workable, just with longer delay.</w:t>
      </w:r>
      <w:r w:rsidR="00F345BA">
        <w:rPr>
          <w:sz w:val="20"/>
          <w:szCs w:val="20"/>
        </w:rPr>
        <w:t xml:space="preserve"> In addition, </w:t>
      </w:r>
      <w:r>
        <w:rPr>
          <w:sz w:val="20"/>
          <w:szCs w:val="20"/>
        </w:rPr>
        <w:t xml:space="preserve">RAN4 also agreed that </w:t>
      </w:r>
      <w:r w:rsidR="005E5CA6">
        <w:rPr>
          <w:sz w:val="20"/>
          <w:szCs w:val="20"/>
        </w:rPr>
        <w:t xml:space="preserve">both early TCI state activation command and PDCCH-order can be used to trigger early RRC decoding on LTM candidate(s) </w:t>
      </w:r>
      <w:r w:rsidR="005E5CA6">
        <w:rPr>
          <w:rFonts w:eastAsia="等线"/>
          <w:bCs/>
          <w:sz w:val="20"/>
          <w:szCs w:val="20"/>
        </w:rPr>
        <w:t xml:space="preserve">if the number </w:t>
      </w:r>
      <w:r w:rsidR="005E5CA6" w:rsidRPr="005E5CA6">
        <w:rPr>
          <w:rFonts w:eastAsia="等线"/>
          <w:bCs/>
          <w:sz w:val="20"/>
          <w:szCs w:val="20"/>
        </w:rPr>
        <w:t xml:space="preserve">of total serving cell(s) + SpCell/SCell(s) in LTM candidate configurations </w:t>
      </w:r>
      <w:r w:rsidR="005E5CA6">
        <w:rPr>
          <w:rFonts w:eastAsia="等线"/>
          <w:bCs/>
          <w:sz w:val="20"/>
          <w:szCs w:val="20"/>
        </w:rPr>
        <w:t>exceeds</w:t>
      </w:r>
      <w:r w:rsidR="005E5CA6" w:rsidRPr="005E5CA6">
        <w:rPr>
          <w:rFonts w:eastAsia="等线"/>
          <w:bCs/>
          <w:sz w:val="20"/>
          <w:szCs w:val="20"/>
        </w:rPr>
        <w:t xml:space="preserve"> maxNumberStoredConfigCells and</w:t>
      </w:r>
      <w:r w:rsidR="005E5CA6">
        <w:rPr>
          <w:rFonts w:eastAsia="等线"/>
          <w:bCs/>
          <w:sz w:val="20"/>
          <w:szCs w:val="20"/>
        </w:rPr>
        <w:t>/or</w:t>
      </w:r>
      <w:r w:rsidR="005E5CA6" w:rsidRPr="005E5CA6">
        <w:rPr>
          <w:rFonts w:eastAsia="等线"/>
          <w:bCs/>
          <w:sz w:val="20"/>
          <w:szCs w:val="20"/>
        </w:rPr>
        <w:t xml:space="preserve"> </w:t>
      </w:r>
      <w:r w:rsidR="005E5CA6">
        <w:rPr>
          <w:rFonts w:eastAsia="等线"/>
          <w:bCs/>
          <w:sz w:val="20"/>
          <w:szCs w:val="20"/>
        </w:rPr>
        <w:t>the number of</w:t>
      </w:r>
      <w:r w:rsidR="005E5CA6" w:rsidRPr="005E5CA6">
        <w:rPr>
          <w:rFonts w:eastAsia="等线"/>
          <w:bCs/>
          <w:sz w:val="20"/>
          <w:szCs w:val="20"/>
        </w:rPr>
        <w:t xml:space="preserve"> LTM candidate configurations</w:t>
      </w:r>
      <w:r w:rsidR="005E5CA6">
        <w:rPr>
          <w:rFonts w:eastAsia="等线"/>
          <w:bCs/>
          <w:sz w:val="20"/>
          <w:szCs w:val="20"/>
        </w:rPr>
        <w:t xml:space="preserve"> exceeds</w:t>
      </w:r>
      <w:r w:rsidR="005E5CA6" w:rsidRPr="005E5CA6">
        <w:rPr>
          <w:rFonts w:eastAsia="等线"/>
          <w:bCs/>
          <w:sz w:val="20"/>
          <w:szCs w:val="20"/>
        </w:rPr>
        <w:t xml:space="preserve"> maxNumberConfigs</w:t>
      </w:r>
      <w:r w:rsidR="005E5CA6">
        <w:rPr>
          <w:rFonts w:eastAsia="等线"/>
          <w:bCs/>
          <w:sz w:val="20"/>
          <w:szCs w:val="20"/>
        </w:rPr>
        <w:t xml:space="preserve">. </w:t>
      </w:r>
      <w:proofErr w:type="gramStart"/>
      <w:r w:rsidR="005E5CA6">
        <w:rPr>
          <w:rFonts w:eastAsia="等线"/>
          <w:bCs/>
          <w:sz w:val="20"/>
          <w:szCs w:val="20"/>
        </w:rPr>
        <w:t>So</w:t>
      </w:r>
      <w:proofErr w:type="gramEnd"/>
      <w:r w:rsidR="005E5CA6">
        <w:rPr>
          <w:rFonts w:eastAsia="等线"/>
          <w:bCs/>
          <w:sz w:val="20"/>
          <w:szCs w:val="20"/>
        </w:rPr>
        <w:t xml:space="preserve"> </w:t>
      </w:r>
      <w:r w:rsidR="00125AD1">
        <w:rPr>
          <w:rFonts w:eastAsia="等线"/>
          <w:bCs/>
          <w:sz w:val="20"/>
          <w:szCs w:val="20"/>
        </w:rPr>
        <w:t xml:space="preserve">it is allowed that </w:t>
      </w:r>
      <w:r w:rsidR="00125AD1" w:rsidRPr="00125AD1">
        <w:rPr>
          <w:rFonts w:eastAsia="等线"/>
          <w:bCs/>
          <w:sz w:val="20"/>
          <w:szCs w:val="20"/>
        </w:rPr>
        <w:t>the number of serving cell(s) + SpCell/SCell(s) in LTM candidate configurations exceeds the UE reported maxNumberStoredConfigCells</w:t>
      </w:r>
      <w:r w:rsidR="006E5619">
        <w:rPr>
          <w:sz w:val="20"/>
          <w:szCs w:val="20"/>
        </w:rPr>
        <w:t>.</w:t>
      </w:r>
    </w:p>
    <w:p w14:paraId="3E1D4CBD" w14:textId="1EA6DDE3" w:rsidR="00F345BA" w:rsidRPr="00F345BA" w:rsidRDefault="00F345BA" w:rsidP="005E5CA6">
      <w:pPr>
        <w:rPr>
          <w:sz w:val="20"/>
          <w:szCs w:val="20"/>
        </w:rPr>
      </w:pPr>
      <w:r>
        <w:rPr>
          <w:sz w:val="20"/>
          <w:szCs w:val="20"/>
        </w:rPr>
        <w:t xml:space="preserve">It seems RAN2 </w:t>
      </w:r>
      <w:r w:rsidR="00AF1DE5">
        <w:rPr>
          <w:sz w:val="20"/>
          <w:szCs w:val="20"/>
        </w:rPr>
        <w:t>assumes UE early decoding is only triggered when UE receives the pre-configuration</w:t>
      </w:r>
      <w:r>
        <w:rPr>
          <w:sz w:val="20"/>
          <w:szCs w:val="20"/>
        </w:rPr>
        <w:t xml:space="preserve">. To make them understand the capability introduced in RAN4 better, we think it is helpful to inform them the information “RAN4 also agreed that both early TCI state activation command and PDCCH-order can be used to trigger early RRC decoding on LTM candidate(s) </w:t>
      </w:r>
      <w:r>
        <w:rPr>
          <w:rFonts w:eastAsia="等线"/>
          <w:bCs/>
          <w:sz w:val="20"/>
          <w:szCs w:val="20"/>
        </w:rPr>
        <w:t>if the number of total serving cell(s) + SpCell/SCell(s) in LTM candidate configurations exceeds maxNumberStoredConfigCells and/or the number of LTM candidate configurations exceeds maxNumberConfigs”.</w:t>
      </w:r>
    </w:p>
    <w:p w14:paraId="40A16E9C" w14:textId="77777777" w:rsidR="005E5CA6" w:rsidRDefault="005E5CA6" w:rsidP="005E5CA6">
      <w:pPr>
        <w:rPr>
          <w:sz w:val="20"/>
          <w:szCs w:val="20"/>
        </w:rPr>
      </w:pPr>
    </w:p>
    <w:p w14:paraId="0AD15D4A" w14:textId="48D4BB5F" w:rsidR="005E5CA6" w:rsidRDefault="005E5CA6" w:rsidP="005E5CA6">
      <w:pPr>
        <w:spacing w:beforeLines="50" w:before="120" w:afterLines="50" w:after="120"/>
        <w:rPr>
          <w:rFonts w:cstheme="minorHAnsi"/>
          <w:b/>
          <w:sz w:val="20"/>
          <w:szCs w:val="20"/>
        </w:rPr>
      </w:pPr>
      <w:r>
        <w:rPr>
          <w:rFonts w:cstheme="minorHAnsi"/>
          <w:b/>
          <w:sz w:val="20"/>
          <w:szCs w:val="20"/>
        </w:rPr>
        <w:t>Proposal 1</w:t>
      </w:r>
      <w:r w:rsidR="00F179A4">
        <w:rPr>
          <w:rFonts w:cstheme="minorHAnsi"/>
          <w:b/>
          <w:sz w:val="20"/>
          <w:szCs w:val="20"/>
        </w:rPr>
        <w:t>1</w:t>
      </w:r>
      <w:r>
        <w:rPr>
          <w:rFonts w:cstheme="minorHAnsi"/>
          <w:b/>
          <w:sz w:val="20"/>
          <w:szCs w:val="20"/>
        </w:rPr>
        <w:t xml:space="preserve">: </w:t>
      </w:r>
      <w:r w:rsidR="00D36D97">
        <w:rPr>
          <w:rFonts w:cstheme="minorHAnsi"/>
          <w:b/>
          <w:sz w:val="20"/>
          <w:szCs w:val="20"/>
        </w:rPr>
        <w:t>For Q3, r</w:t>
      </w:r>
      <w:r>
        <w:rPr>
          <w:rFonts w:cstheme="minorHAnsi"/>
          <w:b/>
          <w:sz w:val="20"/>
          <w:szCs w:val="20"/>
        </w:rPr>
        <w:t>eply RAN2 that</w:t>
      </w:r>
      <w:r w:rsidR="00125AD1">
        <w:rPr>
          <w:rFonts w:cstheme="minorHAnsi"/>
          <w:b/>
          <w:sz w:val="20"/>
          <w:szCs w:val="20"/>
        </w:rPr>
        <w:t>:</w:t>
      </w:r>
      <w:r w:rsidR="00125AD1" w:rsidRPr="00125AD1">
        <w:rPr>
          <w:rFonts w:cstheme="minorHAnsi"/>
          <w:b/>
          <w:sz w:val="20"/>
          <w:szCs w:val="20"/>
        </w:rPr>
        <w:t xml:space="preserve"> </w:t>
      </w:r>
      <w:r w:rsidR="00D36D97">
        <w:rPr>
          <w:rFonts w:cstheme="minorHAnsi"/>
          <w:b/>
          <w:sz w:val="20"/>
          <w:szCs w:val="20"/>
        </w:rPr>
        <w:t>Yes</w:t>
      </w:r>
      <w:r w:rsidR="00125AD1">
        <w:rPr>
          <w:rFonts w:cstheme="minorHAnsi"/>
          <w:b/>
          <w:sz w:val="20"/>
          <w:szCs w:val="20"/>
        </w:rPr>
        <w:t xml:space="preserve">. </w:t>
      </w:r>
      <w:r w:rsidR="00125AD1" w:rsidRPr="00125AD1">
        <w:rPr>
          <w:rFonts w:cstheme="minorHAnsi"/>
          <w:b/>
          <w:sz w:val="20"/>
          <w:szCs w:val="20"/>
        </w:rPr>
        <w:t>RAN4 also agreed that both early TCI state activation command and PDCCH-order can be used to trigger early RRC decoding.</w:t>
      </w:r>
    </w:p>
    <w:bookmarkEnd w:id="0"/>
    <w:bookmarkEnd w:id="8"/>
    <w:bookmarkEnd w:id="9"/>
    <w:p w14:paraId="4DE6E1A9" w14:textId="2F280950" w:rsidR="00CE0D5E" w:rsidRPr="00A17D25" w:rsidRDefault="00141644" w:rsidP="002E7133">
      <w:pPr>
        <w:pStyle w:val="Heading1"/>
        <w:numPr>
          <w:ilvl w:val="0"/>
          <w:numId w:val="1"/>
        </w:numPr>
        <w:jc w:val="both"/>
        <w:rPr>
          <w:rFonts w:ascii="Calibri" w:hAnsi="Calibri"/>
          <w:sz w:val="32"/>
          <w:szCs w:val="32"/>
          <w:lang w:eastAsia="zh-CN"/>
        </w:rPr>
      </w:pPr>
      <w:r w:rsidRPr="00A17D25">
        <w:rPr>
          <w:rFonts w:ascii="Calibri" w:hAnsi="Calibri"/>
          <w:sz w:val="32"/>
          <w:szCs w:val="32"/>
        </w:rPr>
        <w:t>Summary</w:t>
      </w:r>
    </w:p>
    <w:p w14:paraId="2FDB5F34" w14:textId="2CF70FCF" w:rsidR="00867028" w:rsidRPr="00117E12" w:rsidRDefault="006F7557" w:rsidP="004C0364">
      <w:pPr>
        <w:adjustRightInd w:val="0"/>
        <w:snapToGrid w:val="0"/>
        <w:spacing w:before="180" w:after="120"/>
        <w:rPr>
          <w:sz w:val="20"/>
          <w:szCs w:val="20"/>
        </w:rPr>
      </w:pPr>
      <w:r w:rsidRPr="00117E12">
        <w:rPr>
          <w:rFonts w:hint="eastAsia"/>
          <w:sz w:val="20"/>
          <w:szCs w:val="20"/>
        </w:rPr>
        <w:t xml:space="preserve">In this </w:t>
      </w:r>
      <w:r w:rsidRPr="00117E12">
        <w:rPr>
          <w:sz w:val="20"/>
          <w:szCs w:val="20"/>
        </w:rPr>
        <w:t>paper,</w:t>
      </w:r>
      <w:r w:rsidR="00FB24ED" w:rsidRPr="00117E12">
        <w:rPr>
          <w:rFonts w:hint="eastAsia"/>
          <w:sz w:val="20"/>
          <w:szCs w:val="20"/>
        </w:rPr>
        <w:t xml:space="preserve"> </w:t>
      </w:r>
      <w:r w:rsidR="003E65AD" w:rsidRPr="00117E12">
        <w:rPr>
          <w:sz w:val="20"/>
          <w:szCs w:val="20"/>
        </w:rPr>
        <w:t>we provide some views on</w:t>
      </w:r>
      <w:r w:rsidR="00801F9F" w:rsidRPr="00117E12">
        <w:rPr>
          <w:sz w:val="20"/>
          <w:szCs w:val="20"/>
        </w:rPr>
        <w:t xml:space="preserve"> the open issues of R18</w:t>
      </w:r>
      <w:r w:rsidR="002F7148" w:rsidRPr="00117E12">
        <w:rPr>
          <w:sz w:val="20"/>
          <w:szCs w:val="20"/>
        </w:rPr>
        <w:t xml:space="preserve"> </w:t>
      </w:r>
      <w:r w:rsidR="003E65AD" w:rsidRPr="00117E12">
        <w:rPr>
          <w:sz w:val="20"/>
          <w:szCs w:val="20"/>
        </w:rPr>
        <w:t xml:space="preserve">L1/L2 </w:t>
      </w:r>
      <w:r w:rsidR="002F7148" w:rsidRPr="00117E12">
        <w:rPr>
          <w:sz w:val="20"/>
          <w:szCs w:val="20"/>
        </w:rPr>
        <w:t>triggered</w:t>
      </w:r>
      <w:r w:rsidR="003E65AD" w:rsidRPr="00117E12">
        <w:rPr>
          <w:sz w:val="20"/>
          <w:szCs w:val="20"/>
        </w:rPr>
        <w:t xml:space="preserve"> mobility</w:t>
      </w:r>
      <w:r w:rsidR="00CE0CB5" w:rsidRPr="00117E12">
        <w:rPr>
          <w:sz w:val="20"/>
          <w:szCs w:val="20"/>
        </w:rPr>
        <w:t>.</w:t>
      </w:r>
      <w:r w:rsidR="00E710BA" w:rsidRPr="00117E12">
        <w:rPr>
          <w:sz w:val="20"/>
          <w:szCs w:val="20"/>
        </w:rPr>
        <w:t xml:space="preserve"> </w:t>
      </w:r>
      <w:r w:rsidR="009758A1" w:rsidRPr="00117E12">
        <w:rPr>
          <w:sz w:val="20"/>
          <w:szCs w:val="20"/>
        </w:rPr>
        <w:t>We have the following proposal</w:t>
      </w:r>
      <w:r w:rsidR="008D0760" w:rsidRPr="00117E12">
        <w:rPr>
          <w:sz w:val="20"/>
          <w:szCs w:val="20"/>
        </w:rPr>
        <w:t>s</w:t>
      </w:r>
      <w:r w:rsidR="00E710BA" w:rsidRPr="00117E12">
        <w:rPr>
          <w:sz w:val="20"/>
          <w:szCs w:val="20"/>
        </w:rPr>
        <w:t>:</w:t>
      </w:r>
    </w:p>
    <w:p w14:paraId="1FEDE56A" w14:textId="77777777" w:rsidR="00F179A4" w:rsidRDefault="00F179A4" w:rsidP="00F179A4">
      <w:pPr>
        <w:spacing w:beforeLines="50" w:before="120" w:afterLines="50" w:after="120"/>
        <w:rPr>
          <w:rFonts w:cstheme="minorHAnsi"/>
          <w:b/>
          <w:sz w:val="20"/>
          <w:szCs w:val="20"/>
        </w:rPr>
      </w:pPr>
      <w:bookmarkStart w:id="16" w:name="_Hlk142597625"/>
      <w:r>
        <w:rPr>
          <w:rFonts w:cstheme="minorHAnsi" w:hint="eastAsia"/>
          <w:b/>
          <w:sz w:val="20"/>
          <w:szCs w:val="20"/>
        </w:rPr>
        <w:t xml:space="preserve">Observation 1: In early TCI state activation requirements, it is not precise to capture the requirement based on whether SSB is within the BWP or whether the SSB is to be measured with MG. </w:t>
      </w:r>
    </w:p>
    <w:p w14:paraId="0486DE4A" w14:textId="77777777" w:rsidR="00F179A4" w:rsidRDefault="00F179A4" w:rsidP="00F179A4">
      <w:pPr>
        <w:spacing w:beforeLines="50" w:before="120" w:afterLines="50" w:after="120"/>
        <w:rPr>
          <w:rFonts w:cstheme="minorHAnsi" w:hint="eastAsia"/>
          <w:b/>
          <w:sz w:val="20"/>
          <w:szCs w:val="20"/>
        </w:rPr>
      </w:pPr>
      <w:r>
        <w:rPr>
          <w:rFonts w:cstheme="minorHAnsi" w:hint="eastAsia"/>
          <w:b/>
          <w:sz w:val="20"/>
          <w:szCs w:val="20"/>
        </w:rPr>
        <w:t>Proposal 1: In early TCI state activation requirements, differentiate the cases based on whether the SSB is to be measured within or outside gap.</w:t>
      </w:r>
    </w:p>
    <w:p w14:paraId="450A7B00" w14:textId="77777777" w:rsidR="00F179A4" w:rsidRDefault="00F179A4" w:rsidP="00F179A4">
      <w:pPr>
        <w:spacing w:beforeLines="50" w:before="120" w:afterLines="50" w:after="120"/>
        <w:rPr>
          <w:rFonts w:cstheme="minorHAnsi" w:hint="eastAsia"/>
          <w:b/>
          <w:sz w:val="20"/>
          <w:szCs w:val="20"/>
        </w:rPr>
      </w:pPr>
      <w:r>
        <w:rPr>
          <w:rFonts w:cstheme="minorHAnsi" w:hint="eastAsia"/>
          <w:b/>
          <w:sz w:val="20"/>
          <w:szCs w:val="20"/>
        </w:rPr>
        <w:t xml:space="preserve">Proposal 2: Remove the sentence </w:t>
      </w:r>
      <w:r>
        <w:rPr>
          <w:rFonts w:cstheme="minorHAnsi" w:hint="eastAsia"/>
          <w:b/>
          <w:sz w:val="20"/>
          <w:szCs w:val="20"/>
        </w:rPr>
        <w:t>“</w:t>
      </w:r>
      <w:r>
        <w:rPr>
          <w:rFonts w:cstheme="minorHAnsi" w:hint="eastAsia"/>
          <w:b/>
          <w:sz w:val="20"/>
          <w:szCs w:val="20"/>
        </w:rPr>
        <w:t>FFS: this is only applicable to UE supporting inter-frequency L1 measurement with MG.</w:t>
      </w:r>
      <w:r>
        <w:rPr>
          <w:rFonts w:cstheme="minorHAnsi" w:hint="eastAsia"/>
          <w:b/>
          <w:sz w:val="20"/>
          <w:szCs w:val="20"/>
        </w:rPr>
        <w:t>”</w:t>
      </w:r>
      <w:r>
        <w:rPr>
          <w:rFonts w:cstheme="minorHAnsi" w:hint="eastAsia"/>
          <w:b/>
          <w:sz w:val="20"/>
          <w:szCs w:val="20"/>
        </w:rPr>
        <w:t xml:space="preserve"> in early TCI state activation requirements. </w:t>
      </w:r>
    </w:p>
    <w:p w14:paraId="3E1D78BB" w14:textId="77777777" w:rsidR="00F179A4" w:rsidRDefault="00F179A4" w:rsidP="00F179A4">
      <w:pPr>
        <w:spacing w:beforeLines="50" w:before="120" w:afterLines="50" w:after="120"/>
        <w:rPr>
          <w:rFonts w:cstheme="minorHAnsi" w:hint="eastAsia"/>
          <w:b/>
          <w:sz w:val="20"/>
          <w:szCs w:val="20"/>
        </w:rPr>
      </w:pPr>
      <w:r>
        <w:rPr>
          <w:rFonts w:cstheme="minorHAnsi" w:hint="eastAsia"/>
          <w:b/>
          <w:sz w:val="20"/>
          <w:szCs w:val="20"/>
        </w:rPr>
        <w:t>Proposal 3: In PDCCH order delay requirements:</w:t>
      </w:r>
    </w:p>
    <w:p w14:paraId="0BAD6D96" w14:textId="77777777" w:rsidR="00F179A4" w:rsidRDefault="00F179A4" w:rsidP="00F179A4">
      <w:pPr>
        <w:pStyle w:val="ListParagraph"/>
        <w:numPr>
          <w:ilvl w:val="0"/>
          <w:numId w:val="55"/>
        </w:numPr>
        <w:spacing w:beforeLines="50" w:before="120" w:afterLines="50" w:after="120"/>
        <w:ind w:left="1800"/>
        <w:rPr>
          <w:rFonts w:cstheme="minorHAnsi" w:hint="eastAsia"/>
          <w:b/>
          <w:sz w:val="20"/>
          <w:szCs w:val="20"/>
        </w:rPr>
      </w:pPr>
      <w:r>
        <w:rPr>
          <w:rFonts w:cstheme="minorHAnsi" w:hint="eastAsia"/>
          <w:b/>
          <w:sz w:val="20"/>
          <w:szCs w:val="20"/>
        </w:rPr>
        <w:t>differentiate the cases based on whether the SSB is to be measured within or outside gap.</w:t>
      </w:r>
    </w:p>
    <w:p w14:paraId="1751CA31" w14:textId="77777777" w:rsidR="00F179A4" w:rsidRDefault="00F179A4" w:rsidP="00F179A4">
      <w:pPr>
        <w:pStyle w:val="ListParagraph"/>
        <w:numPr>
          <w:ilvl w:val="0"/>
          <w:numId w:val="55"/>
        </w:numPr>
        <w:spacing w:beforeLines="50" w:before="120" w:afterLines="50" w:after="120"/>
        <w:ind w:left="1800"/>
        <w:rPr>
          <w:rFonts w:cstheme="minorHAnsi" w:hint="eastAsia"/>
          <w:b/>
          <w:sz w:val="20"/>
          <w:szCs w:val="20"/>
        </w:rPr>
      </w:pPr>
      <w:r>
        <w:rPr>
          <w:rFonts w:cstheme="minorHAnsi" w:hint="eastAsia"/>
          <w:b/>
          <w:sz w:val="20"/>
          <w:szCs w:val="20"/>
        </w:rPr>
        <w:t xml:space="preserve">Remove the sentence </w:t>
      </w:r>
      <w:r>
        <w:rPr>
          <w:rFonts w:cstheme="minorHAnsi" w:hint="eastAsia"/>
          <w:b/>
          <w:sz w:val="20"/>
          <w:szCs w:val="20"/>
        </w:rPr>
        <w:t>“</w:t>
      </w:r>
      <w:r>
        <w:rPr>
          <w:rFonts w:cstheme="minorHAnsi" w:hint="eastAsia"/>
          <w:b/>
          <w:sz w:val="20"/>
          <w:szCs w:val="20"/>
        </w:rPr>
        <w:t>FFS: this is only applicable to UE supporting inter-frequency L1 measurement with MG.</w:t>
      </w:r>
      <w:r>
        <w:rPr>
          <w:rFonts w:cstheme="minorHAnsi" w:hint="eastAsia"/>
          <w:b/>
          <w:sz w:val="20"/>
          <w:szCs w:val="20"/>
        </w:rPr>
        <w:t>”</w:t>
      </w:r>
    </w:p>
    <w:p w14:paraId="37C68435" w14:textId="77777777" w:rsidR="00F179A4" w:rsidRDefault="00F179A4" w:rsidP="00F179A4">
      <w:pPr>
        <w:spacing w:beforeLines="50" w:before="120" w:afterLines="50" w:after="120"/>
        <w:rPr>
          <w:rFonts w:cstheme="minorHAnsi" w:hint="eastAsia"/>
          <w:b/>
          <w:sz w:val="20"/>
          <w:szCs w:val="20"/>
        </w:rPr>
      </w:pPr>
      <w:r>
        <w:rPr>
          <w:rFonts w:cstheme="minorHAnsi" w:hint="eastAsia"/>
          <w:b/>
          <w:sz w:val="20"/>
          <w:szCs w:val="20"/>
        </w:rPr>
        <w:t>Proposal 4: The following agreement is only applicable to intra-frequency:</w:t>
      </w:r>
    </w:p>
    <w:p w14:paraId="55CAA6E4" w14:textId="77777777" w:rsidR="00F179A4" w:rsidRDefault="00F179A4" w:rsidP="00F179A4">
      <w:pPr>
        <w:pStyle w:val="ListParagraph"/>
        <w:numPr>
          <w:ilvl w:val="0"/>
          <w:numId w:val="56"/>
        </w:numPr>
        <w:spacing w:beforeLines="50" w:before="120" w:afterLines="50" w:after="120"/>
        <w:ind w:left="1800"/>
        <w:rPr>
          <w:rFonts w:cstheme="minorHAnsi" w:hint="eastAsia"/>
          <w:b/>
          <w:sz w:val="20"/>
          <w:szCs w:val="20"/>
        </w:rPr>
      </w:pPr>
      <w:r>
        <w:rPr>
          <w:rFonts w:cstheme="minorHAnsi" w:hint="eastAsia"/>
          <w:b/>
          <w:sz w:val="20"/>
          <w:szCs w:val="20"/>
        </w:rPr>
        <w:t>Extend the condition for T</w:t>
      </w:r>
      <w:r>
        <w:rPr>
          <w:rFonts w:cstheme="minorHAnsi" w:hint="eastAsia"/>
          <w:b/>
          <w:sz w:val="20"/>
          <w:szCs w:val="20"/>
          <w:vertAlign w:val="subscript"/>
        </w:rPr>
        <w:t>first-RS</w:t>
      </w:r>
      <w:r>
        <w:rPr>
          <w:rFonts w:cstheme="minorHAnsi" w:hint="eastAsia"/>
          <w:b/>
          <w:sz w:val="20"/>
          <w:szCs w:val="20"/>
        </w:rPr>
        <w:t xml:space="preserve"> = 0 </w:t>
      </w:r>
      <w:r>
        <w:rPr>
          <w:rFonts w:cstheme="minorHAnsi" w:hint="eastAsia"/>
          <w:b/>
          <w:sz w:val="20"/>
          <w:szCs w:val="20"/>
        </w:rPr>
        <w:t>“</w:t>
      </w:r>
      <w:r>
        <w:rPr>
          <w:rFonts w:cstheme="minorHAnsi" w:hint="eastAsia"/>
          <w:b/>
          <w:sz w:val="20"/>
          <w:szCs w:val="20"/>
        </w:rPr>
        <w:t>the time gap between TCI state activation and the cell switch command is not more than 160 ms</w:t>
      </w:r>
      <w:r>
        <w:rPr>
          <w:rFonts w:cstheme="minorHAnsi" w:hint="eastAsia"/>
          <w:b/>
          <w:sz w:val="20"/>
          <w:szCs w:val="20"/>
        </w:rPr>
        <w:t>”</w:t>
      </w:r>
      <w:r>
        <w:rPr>
          <w:rFonts w:cstheme="minorHAnsi" w:hint="eastAsia"/>
          <w:b/>
          <w:sz w:val="20"/>
          <w:szCs w:val="20"/>
        </w:rPr>
        <w:t xml:space="preserve"> to </w:t>
      </w:r>
      <w:r>
        <w:rPr>
          <w:rFonts w:cstheme="minorHAnsi" w:hint="eastAsia"/>
          <w:b/>
          <w:sz w:val="20"/>
          <w:szCs w:val="20"/>
        </w:rPr>
        <w:t>“</w:t>
      </w:r>
      <w:r>
        <w:rPr>
          <w:rFonts w:cstheme="minorHAnsi" w:hint="eastAsia"/>
          <w:b/>
          <w:sz w:val="20"/>
          <w:szCs w:val="20"/>
        </w:rPr>
        <w:t>480ms</w:t>
      </w:r>
      <w:r>
        <w:rPr>
          <w:rFonts w:cstheme="minorHAnsi" w:hint="eastAsia"/>
          <w:b/>
          <w:sz w:val="20"/>
          <w:szCs w:val="20"/>
        </w:rPr>
        <w:t>”</w:t>
      </w:r>
      <w:r>
        <w:rPr>
          <w:rFonts w:cstheme="minorHAnsi" w:hint="eastAsia"/>
          <w:b/>
          <w:sz w:val="20"/>
          <w:szCs w:val="20"/>
        </w:rPr>
        <w:t xml:space="preserve"> in FR1 for UE not supporting/configured with L1 measurement.</w:t>
      </w:r>
    </w:p>
    <w:p w14:paraId="5A715729" w14:textId="77777777" w:rsidR="00F179A4" w:rsidRDefault="00F179A4" w:rsidP="00F179A4">
      <w:pPr>
        <w:spacing w:beforeLines="50" w:before="120" w:afterLines="50" w:after="120"/>
        <w:rPr>
          <w:rFonts w:cstheme="minorHAnsi" w:hint="eastAsia"/>
          <w:b/>
          <w:sz w:val="20"/>
          <w:szCs w:val="20"/>
        </w:rPr>
      </w:pPr>
      <w:r>
        <w:rPr>
          <w:rFonts w:cstheme="minorHAnsi" w:hint="eastAsia"/>
          <w:b/>
          <w:sz w:val="20"/>
          <w:szCs w:val="20"/>
        </w:rPr>
        <w:t>Proposal 5: Open to discuss how to optimize the known TCI state definition in R19 considering L1 report can be triggered when leaving condition is met. Not to further optimize known TCI state definition in R18.</w:t>
      </w:r>
    </w:p>
    <w:p w14:paraId="4929B408" w14:textId="77777777" w:rsidR="00F179A4" w:rsidRDefault="00F179A4" w:rsidP="00F179A4">
      <w:pPr>
        <w:spacing w:beforeLines="50" w:before="120" w:afterLines="50" w:after="120"/>
        <w:rPr>
          <w:rFonts w:cstheme="minorHAnsi" w:hint="eastAsia"/>
          <w:b/>
          <w:sz w:val="20"/>
          <w:szCs w:val="20"/>
        </w:rPr>
      </w:pPr>
      <w:r>
        <w:rPr>
          <w:rFonts w:cstheme="minorHAnsi" w:hint="eastAsia"/>
          <w:b/>
          <w:sz w:val="20"/>
          <w:szCs w:val="20"/>
        </w:rPr>
        <w:t>Proposal 6: Not to extend cell switch delay requirements to FR2 without L1 report and remove the following in known TCI state definition for cell switch:</w:t>
      </w:r>
    </w:p>
    <w:p w14:paraId="5FEC8593" w14:textId="77777777" w:rsidR="00F179A4" w:rsidRDefault="00F179A4" w:rsidP="00F179A4">
      <w:pPr>
        <w:widowControl/>
        <w:overflowPunct w:val="0"/>
        <w:autoSpaceDE w:val="0"/>
        <w:autoSpaceDN w:val="0"/>
        <w:adjustRightInd w:val="0"/>
        <w:spacing w:after="180"/>
        <w:ind w:left="568" w:hanging="284"/>
        <w:textAlignment w:val="baseline"/>
        <w:rPr>
          <w:rFonts w:cstheme="minorHAnsi" w:hint="eastAsia"/>
          <w:b/>
          <w:sz w:val="20"/>
          <w:szCs w:val="20"/>
        </w:rPr>
      </w:pPr>
      <w:r>
        <w:rPr>
          <w:rFonts w:cstheme="minorHAnsi" w:hint="eastAsia"/>
          <w:b/>
          <w:sz w:val="20"/>
          <w:szCs w:val="20"/>
        </w:rPr>
        <w:t>[-</w:t>
      </w:r>
      <w:r>
        <w:rPr>
          <w:rFonts w:cstheme="minorHAnsi" w:hint="eastAsia"/>
          <w:b/>
          <w:sz w:val="20"/>
          <w:szCs w:val="20"/>
        </w:rPr>
        <w:tab/>
        <w:t xml:space="preserve">The target TCI state in the cell switch command is activated not more than TBD ms before the reception of the cell switch command and SNR of the SSB associated to TCI state </w:t>
      </w:r>
      <w:r>
        <w:rPr>
          <w:rFonts w:cstheme="minorHAnsi" w:hint="eastAsia"/>
          <w:b/>
          <w:sz w:val="20"/>
          <w:szCs w:val="20"/>
        </w:rPr>
        <w:t>≥</w:t>
      </w:r>
      <w:r>
        <w:rPr>
          <w:rFonts w:cstheme="minorHAnsi" w:hint="eastAsia"/>
          <w:b/>
          <w:sz w:val="20"/>
          <w:szCs w:val="20"/>
        </w:rPr>
        <w:t xml:space="preserve"> -3dB; or] </w:t>
      </w:r>
    </w:p>
    <w:p w14:paraId="0FCD3D1C" w14:textId="77777777" w:rsidR="00F179A4" w:rsidRDefault="00F179A4" w:rsidP="00F179A4">
      <w:pPr>
        <w:widowControl/>
        <w:overflowPunct w:val="0"/>
        <w:autoSpaceDE w:val="0"/>
        <w:autoSpaceDN w:val="0"/>
        <w:adjustRightInd w:val="0"/>
        <w:spacing w:after="180"/>
        <w:ind w:left="284"/>
        <w:textAlignment w:val="baseline"/>
        <w:rPr>
          <w:rFonts w:cstheme="minorHAnsi" w:hint="eastAsia"/>
          <w:b/>
          <w:sz w:val="20"/>
          <w:szCs w:val="20"/>
        </w:rPr>
      </w:pPr>
      <w:r>
        <w:rPr>
          <w:rFonts w:cstheme="minorHAnsi" w:hint="eastAsia"/>
          <w:b/>
          <w:sz w:val="20"/>
          <w:szCs w:val="20"/>
        </w:rPr>
        <w:t>[-</w:t>
      </w:r>
      <w:r>
        <w:rPr>
          <w:rFonts w:cstheme="minorHAnsi" w:hint="eastAsia"/>
          <w:b/>
          <w:sz w:val="20"/>
          <w:szCs w:val="20"/>
        </w:rPr>
        <w:tab/>
        <w:t xml:space="preserve">The target TCI state in cell switch command is activated before receiving the cell switch command and the SSB associated to target TCI state is available at least once every TBD ms after the TCI state activation command is received and SNR of the SSB associated to TCI state </w:t>
      </w:r>
      <w:r>
        <w:rPr>
          <w:rFonts w:cstheme="minorHAnsi" w:hint="eastAsia"/>
          <w:b/>
          <w:sz w:val="20"/>
          <w:szCs w:val="20"/>
        </w:rPr>
        <w:t>≥</w:t>
      </w:r>
      <w:r>
        <w:rPr>
          <w:rFonts w:cstheme="minorHAnsi" w:hint="eastAsia"/>
          <w:b/>
          <w:sz w:val="20"/>
          <w:szCs w:val="20"/>
        </w:rPr>
        <w:t xml:space="preserve"> -3dB; or]</w:t>
      </w:r>
    </w:p>
    <w:p w14:paraId="4FAE1371" w14:textId="77777777" w:rsidR="00F179A4" w:rsidRDefault="00F179A4" w:rsidP="00F179A4">
      <w:pPr>
        <w:spacing w:beforeLines="50" w:before="120" w:afterLines="50" w:after="120"/>
        <w:rPr>
          <w:rFonts w:cstheme="minorHAnsi" w:hint="eastAsia"/>
          <w:b/>
          <w:bCs/>
          <w:sz w:val="20"/>
          <w:szCs w:val="20"/>
        </w:rPr>
      </w:pPr>
      <w:r>
        <w:rPr>
          <w:rFonts w:cstheme="minorHAnsi" w:hint="eastAsia"/>
          <w:b/>
          <w:sz w:val="20"/>
          <w:szCs w:val="20"/>
        </w:rPr>
        <w:t xml:space="preserve">Proposal 7: When the configured candidate </w:t>
      </w:r>
      <w:r>
        <w:rPr>
          <w:rFonts w:cstheme="minorHAnsi" w:hint="eastAsia"/>
          <w:b/>
          <w:bCs/>
          <w:sz w:val="20"/>
          <w:szCs w:val="20"/>
        </w:rPr>
        <w:t>cells are more than number of candidates that UE supports early RRC decoding and validity check, we are open to further optimize this scenario only if a simple and clear rule can be agreed. Otherwise, we prefer not to optimize further.</w:t>
      </w:r>
    </w:p>
    <w:p w14:paraId="642CBFB3" w14:textId="77777777" w:rsidR="00F179A4" w:rsidRDefault="00F179A4" w:rsidP="00F179A4">
      <w:pPr>
        <w:spacing w:beforeLines="50" w:before="120" w:afterLines="50" w:after="120"/>
        <w:rPr>
          <w:rFonts w:cstheme="minorHAnsi" w:hint="eastAsia"/>
          <w:b/>
          <w:sz w:val="20"/>
          <w:szCs w:val="20"/>
        </w:rPr>
      </w:pPr>
      <w:r>
        <w:rPr>
          <w:rFonts w:cstheme="minorHAnsi" w:hint="eastAsia"/>
          <w:b/>
          <w:sz w:val="20"/>
          <w:szCs w:val="20"/>
        </w:rPr>
        <w:t xml:space="preserve">Proposal 8: Send LS to RAN2 to inform them that 45-3a/45-4a (MAC-CE activated joint LTM TCI states) are not the prerequisite FG of 39-6 </w:t>
      </w:r>
      <w:r>
        <w:rPr>
          <w:rFonts w:cstheme="minorHAnsi" w:hint="eastAsia"/>
          <w:b/>
          <w:sz w:val="20"/>
          <w:szCs w:val="20"/>
        </w:rPr>
        <w:t>“</w:t>
      </w:r>
      <w:r>
        <w:rPr>
          <w:rFonts w:cstheme="minorHAnsi" w:hint="eastAsia"/>
          <w:b/>
          <w:sz w:val="20"/>
          <w:szCs w:val="20"/>
        </w:rPr>
        <w:t>Fast processing of LTM candidate cell RRC configuration</w:t>
      </w:r>
      <w:r>
        <w:rPr>
          <w:rFonts w:cstheme="minorHAnsi" w:hint="eastAsia"/>
          <w:b/>
          <w:sz w:val="20"/>
          <w:szCs w:val="20"/>
        </w:rPr>
        <w:t>”</w:t>
      </w:r>
      <w:r>
        <w:rPr>
          <w:rFonts w:cstheme="minorHAnsi" w:hint="eastAsia"/>
          <w:b/>
          <w:sz w:val="20"/>
          <w:szCs w:val="20"/>
        </w:rPr>
        <w:t xml:space="preserve">. </w:t>
      </w:r>
    </w:p>
    <w:p w14:paraId="23C31437" w14:textId="77777777" w:rsidR="00F179A4" w:rsidRDefault="00F179A4" w:rsidP="00F179A4">
      <w:pPr>
        <w:spacing w:beforeLines="50" w:before="120" w:afterLines="50" w:after="120"/>
        <w:rPr>
          <w:rFonts w:cstheme="minorHAnsi" w:hint="eastAsia"/>
          <w:b/>
          <w:sz w:val="20"/>
          <w:szCs w:val="20"/>
        </w:rPr>
      </w:pPr>
      <w:r>
        <w:rPr>
          <w:rFonts w:cstheme="minorHAnsi" w:hint="eastAsia"/>
          <w:b/>
          <w:sz w:val="20"/>
          <w:szCs w:val="20"/>
        </w:rPr>
        <w:t>Proposal 9: For Q1, confirm RAN2</w:t>
      </w:r>
      <w:r>
        <w:rPr>
          <w:rFonts w:cstheme="minorHAnsi" w:hint="eastAsia"/>
          <w:b/>
          <w:sz w:val="20"/>
          <w:szCs w:val="20"/>
        </w:rPr>
        <w:t>’</w:t>
      </w:r>
      <w:r>
        <w:rPr>
          <w:rFonts w:cstheme="minorHAnsi" w:hint="eastAsia"/>
          <w:b/>
          <w:sz w:val="20"/>
          <w:szCs w:val="20"/>
        </w:rPr>
        <w:t xml:space="preserve">s understanding that if the network configures </w:t>
      </w:r>
      <w:proofErr w:type="gramStart"/>
      <w:r>
        <w:rPr>
          <w:rFonts w:cstheme="minorHAnsi" w:hint="eastAsia"/>
          <w:b/>
          <w:sz w:val="20"/>
          <w:szCs w:val="20"/>
        </w:rPr>
        <w:t>a number of</w:t>
      </w:r>
      <w:proofErr w:type="gramEnd"/>
      <w:r>
        <w:rPr>
          <w:rFonts w:cstheme="minorHAnsi" w:hint="eastAsia"/>
          <w:b/>
          <w:sz w:val="20"/>
          <w:szCs w:val="20"/>
        </w:rPr>
        <w:t xml:space="preserve"> total serving cell(s) + SpCell/SCell(s) in LTM candidate configurations which is up to maxNumberStoredConfigCells and where up to maxNumberConfigs LTM candidate configurations are included within the configured total cells, UE will be capable of performing early ASN.1 decoding on all the configured LTM candidate configurations. </w:t>
      </w:r>
    </w:p>
    <w:p w14:paraId="0DEB41D3" w14:textId="77777777" w:rsidR="00F179A4" w:rsidRDefault="00F179A4" w:rsidP="00F179A4">
      <w:pPr>
        <w:spacing w:beforeLines="50" w:before="120" w:afterLines="50" w:after="120"/>
        <w:rPr>
          <w:rFonts w:cstheme="minorHAnsi" w:hint="eastAsia"/>
          <w:b/>
          <w:sz w:val="20"/>
          <w:szCs w:val="20"/>
        </w:rPr>
      </w:pPr>
      <w:r>
        <w:rPr>
          <w:rFonts w:cstheme="minorHAnsi" w:hint="eastAsia"/>
          <w:b/>
          <w:sz w:val="20"/>
          <w:szCs w:val="20"/>
        </w:rPr>
        <w:t>Proposal 10: For Q2, reply RAN2 that:</w:t>
      </w:r>
    </w:p>
    <w:p w14:paraId="1548E5D7" w14:textId="77777777" w:rsidR="00F179A4" w:rsidRDefault="00F179A4" w:rsidP="00F179A4">
      <w:pPr>
        <w:pStyle w:val="ListParagraph"/>
        <w:numPr>
          <w:ilvl w:val="0"/>
          <w:numId w:val="56"/>
        </w:numPr>
        <w:spacing w:beforeLines="50" w:before="120" w:afterLines="50" w:after="120"/>
        <w:ind w:left="1800"/>
        <w:rPr>
          <w:rFonts w:cstheme="minorHAnsi" w:hint="eastAsia"/>
          <w:b/>
          <w:sz w:val="20"/>
          <w:szCs w:val="20"/>
          <w:lang w:eastAsia="x-none"/>
        </w:rPr>
      </w:pPr>
      <w:r>
        <w:rPr>
          <w:rFonts w:cstheme="minorHAnsi" w:hint="eastAsia"/>
          <w:b/>
          <w:sz w:val="20"/>
          <w:szCs w:val="20"/>
          <w:lang w:eastAsia="zh-CN"/>
        </w:rPr>
        <w:t>No</w:t>
      </w:r>
      <w:r>
        <w:rPr>
          <w:rFonts w:cstheme="minorHAnsi" w:hint="eastAsia"/>
          <w:b/>
          <w:sz w:val="20"/>
          <w:szCs w:val="20"/>
        </w:rPr>
        <w:t xml:space="preserve">. But if the number of serving cell(s) + SpCell/SCell(s) in decoded LTM candidate configuration(s) exceeds maxNumberStoredConfigCells, UE will not store the decoded configurations and still needs extra time to perform RRC </w:t>
      </w:r>
      <w:proofErr w:type="gramStart"/>
      <w:r>
        <w:rPr>
          <w:rFonts w:cstheme="minorHAnsi" w:hint="eastAsia"/>
          <w:b/>
          <w:sz w:val="20"/>
          <w:szCs w:val="20"/>
        </w:rPr>
        <w:t>decoding</w:t>
      </w:r>
      <w:proofErr w:type="gramEnd"/>
      <w:r>
        <w:rPr>
          <w:rFonts w:cstheme="minorHAnsi" w:hint="eastAsia"/>
          <w:b/>
          <w:sz w:val="20"/>
          <w:szCs w:val="20"/>
        </w:rPr>
        <w:t xml:space="preserve"> and validity check again during cell switch. This leads to a waste of UE efforts and power, and not preferred in RAN4.</w:t>
      </w:r>
    </w:p>
    <w:p w14:paraId="28A626B3" w14:textId="77777777" w:rsidR="00F179A4" w:rsidRDefault="00F179A4" w:rsidP="00F179A4">
      <w:pPr>
        <w:pStyle w:val="ListParagraph"/>
        <w:numPr>
          <w:ilvl w:val="0"/>
          <w:numId w:val="56"/>
        </w:numPr>
        <w:spacing w:beforeLines="50" w:before="120" w:afterLines="50" w:after="120"/>
        <w:ind w:left="1800"/>
        <w:rPr>
          <w:rFonts w:cstheme="minorHAnsi" w:hint="eastAsia"/>
          <w:b/>
          <w:sz w:val="20"/>
          <w:szCs w:val="20"/>
          <w:lang w:eastAsia="x-none"/>
        </w:rPr>
      </w:pPr>
      <w:r>
        <w:rPr>
          <w:rFonts w:cstheme="minorHAnsi" w:hint="eastAsia"/>
          <w:b/>
          <w:sz w:val="20"/>
          <w:szCs w:val="20"/>
        </w:rPr>
        <w:t xml:space="preserve">RAN4 suggests RAN2 adding a new field in LTM-Candidate IE to indicate the number of serving cells configured by this LTM candidate configuration to avoid potential waste of UE efforts and power. </w:t>
      </w:r>
    </w:p>
    <w:p w14:paraId="28AF02DC" w14:textId="202EC2F2" w:rsidR="000621EB" w:rsidRPr="00090E81" w:rsidRDefault="00F179A4" w:rsidP="004564C8">
      <w:pPr>
        <w:spacing w:beforeLines="50" w:before="120" w:afterLines="50" w:after="120"/>
        <w:rPr>
          <w:rFonts w:cstheme="minorHAnsi"/>
          <w:b/>
          <w:sz w:val="20"/>
          <w:szCs w:val="20"/>
        </w:rPr>
      </w:pPr>
      <w:r>
        <w:rPr>
          <w:rFonts w:cstheme="minorHAnsi" w:hint="eastAsia"/>
          <w:b/>
          <w:sz w:val="20"/>
          <w:szCs w:val="20"/>
        </w:rPr>
        <w:lastRenderedPageBreak/>
        <w:t>Proposal 11: For Q3, reply RAN2 that: Yes. RAN4 also agreed that both early TCI state activation command and PDCCH-order can be used to trigger early RRC decoding.</w:t>
      </w:r>
      <w:r w:rsidR="00090E81" w:rsidRPr="00131320">
        <w:rPr>
          <w:rFonts w:cstheme="minorHAnsi"/>
          <w:b/>
          <w:sz w:val="20"/>
          <w:szCs w:val="20"/>
        </w:rPr>
        <w:t xml:space="preserve"> </w:t>
      </w:r>
    </w:p>
    <w:bookmarkEnd w:id="16"/>
    <w:p w14:paraId="215C263B" w14:textId="77777777" w:rsidR="006C1DC9" w:rsidRPr="005A55ED" w:rsidRDefault="006C1DC9" w:rsidP="006C1DC9">
      <w:pPr>
        <w:pStyle w:val="Heading1"/>
        <w:jc w:val="both"/>
        <w:rPr>
          <w:rFonts w:asciiTheme="minorHAnsi" w:hAnsiTheme="minorHAnsi" w:cstheme="minorHAnsi"/>
          <w:color w:val="000000" w:themeColor="text1"/>
          <w:sz w:val="32"/>
          <w:szCs w:val="32"/>
        </w:rPr>
      </w:pPr>
      <w:r w:rsidRPr="005A55ED">
        <w:rPr>
          <w:rFonts w:asciiTheme="minorHAnsi" w:eastAsia="PMingLiU" w:hAnsiTheme="minorHAnsi" w:cstheme="minorHAnsi"/>
          <w:color w:val="000000" w:themeColor="text1"/>
          <w:sz w:val="32"/>
          <w:szCs w:val="32"/>
          <w:lang w:eastAsia="zh-TW"/>
        </w:rPr>
        <w:t>4 Reference</w:t>
      </w:r>
      <w:r w:rsidRPr="005A55ED">
        <w:rPr>
          <w:rFonts w:asciiTheme="minorHAnsi" w:hAnsiTheme="minorHAnsi" w:cstheme="minorHAnsi"/>
          <w:color w:val="000000" w:themeColor="text1"/>
          <w:sz w:val="32"/>
          <w:szCs w:val="32"/>
        </w:rPr>
        <w:t xml:space="preserve"> </w:t>
      </w:r>
    </w:p>
    <w:p w14:paraId="28CDD5B3" w14:textId="09AD455B" w:rsidR="00374A9B" w:rsidRPr="00117E12" w:rsidRDefault="00117E12" w:rsidP="00117E12">
      <w:pPr>
        <w:pStyle w:val="references0"/>
        <w:rPr>
          <w:rFonts w:asciiTheme="minorHAnsi" w:eastAsiaTheme="minorEastAsia" w:hAnsiTheme="minorHAnsi" w:cstheme="minorBidi"/>
          <w:noProof w:val="0"/>
          <w:kern w:val="2"/>
          <w:szCs w:val="20"/>
          <w:lang w:eastAsia="zh-CN"/>
        </w:rPr>
      </w:pPr>
      <w:r w:rsidRPr="00117E12">
        <w:rPr>
          <w:rFonts w:asciiTheme="minorHAnsi" w:eastAsiaTheme="minorEastAsia" w:hAnsiTheme="minorHAnsi" w:cstheme="minorBidi"/>
          <w:noProof w:val="0"/>
          <w:kern w:val="2"/>
          <w:szCs w:val="20"/>
          <w:lang w:eastAsia="zh-CN"/>
        </w:rPr>
        <w:t>R4-2410302</w:t>
      </w:r>
      <w:r w:rsidR="00876A2D" w:rsidRPr="00117E12">
        <w:rPr>
          <w:rFonts w:asciiTheme="minorHAnsi" w:eastAsiaTheme="minorEastAsia" w:hAnsiTheme="minorHAnsi" w:cstheme="minorBidi"/>
          <w:noProof w:val="0"/>
          <w:kern w:val="2"/>
          <w:szCs w:val="20"/>
          <w:lang w:eastAsia="zh-CN"/>
        </w:rPr>
        <w:t>, “WF on NR mobility enhancements (part 1)”, MediaTek Inc., RAN4#11</w:t>
      </w:r>
      <w:r w:rsidRPr="00117E12">
        <w:rPr>
          <w:rFonts w:asciiTheme="minorHAnsi" w:eastAsiaTheme="minorEastAsia" w:hAnsiTheme="minorHAnsi" w:cstheme="minorBidi"/>
          <w:noProof w:val="0"/>
          <w:kern w:val="2"/>
          <w:szCs w:val="20"/>
          <w:lang w:eastAsia="zh-CN"/>
        </w:rPr>
        <w:t>1</w:t>
      </w:r>
      <w:r w:rsidR="00876A2D" w:rsidRPr="00117E12">
        <w:rPr>
          <w:rFonts w:asciiTheme="minorHAnsi" w:eastAsiaTheme="minorEastAsia" w:hAnsiTheme="minorHAnsi" w:cstheme="minorBidi"/>
          <w:noProof w:val="0"/>
          <w:kern w:val="2"/>
          <w:szCs w:val="20"/>
          <w:lang w:eastAsia="zh-CN"/>
        </w:rPr>
        <w:t xml:space="preserve"> meeting, </w:t>
      </w:r>
      <w:r w:rsidRPr="00117E12">
        <w:rPr>
          <w:rFonts w:asciiTheme="minorHAnsi" w:eastAsiaTheme="minorEastAsia" w:hAnsiTheme="minorHAnsi" w:cstheme="minorBidi"/>
          <w:noProof w:val="0"/>
          <w:kern w:val="2"/>
          <w:szCs w:val="20"/>
          <w:lang w:eastAsia="zh-CN"/>
        </w:rPr>
        <w:t>May</w:t>
      </w:r>
      <w:r w:rsidR="00876A2D" w:rsidRPr="00117E12">
        <w:rPr>
          <w:rFonts w:asciiTheme="minorHAnsi" w:eastAsiaTheme="minorEastAsia" w:hAnsiTheme="minorHAnsi" w:cstheme="minorBidi"/>
          <w:noProof w:val="0"/>
          <w:kern w:val="2"/>
          <w:szCs w:val="20"/>
          <w:lang w:eastAsia="zh-CN"/>
        </w:rPr>
        <w:t xml:space="preserve"> 2024</w:t>
      </w:r>
    </w:p>
    <w:sectPr w:rsidR="00374A9B" w:rsidRPr="00117E1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67A5B" w14:textId="77777777" w:rsidR="00811559" w:rsidRDefault="00811559">
      <w:r>
        <w:separator/>
      </w:r>
    </w:p>
  </w:endnote>
  <w:endnote w:type="continuationSeparator" w:id="0">
    <w:p w14:paraId="17506DEA" w14:textId="77777777" w:rsidR="00811559" w:rsidRDefault="00811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B3E5D" w14:textId="77777777" w:rsidR="00811559" w:rsidRDefault="00811559">
      <w:r>
        <w:separator/>
      </w:r>
    </w:p>
  </w:footnote>
  <w:footnote w:type="continuationSeparator" w:id="0">
    <w:p w14:paraId="76BEDD0E" w14:textId="77777777" w:rsidR="00811559" w:rsidRDefault="008115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6A6E01"/>
    <w:multiLevelType w:val="hybridMultilevel"/>
    <w:tmpl w:val="0044AEE4"/>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480" w:hanging="480"/>
      </w:pPr>
      <w:rPr>
        <w:rFonts w:ascii="Arial" w:hAnsi="Arial" w:hint="default"/>
      </w:rPr>
    </w:lvl>
    <w:lvl w:ilvl="2" w:tplc="DB60718C">
      <w:start w:val="1"/>
      <w:numFmt w:val="bullet"/>
      <w:lvlText w:val="•"/>
      <w:lvlJc w:val="left"/>
      <w:pPr>
        <w:ind w:left="480" w:hanging="480"/>
      </w:pPr>
      <w:rPr>
        <w:rFonts w:ascii="Arial" w:hAnsi="Arial" w:hint="default"/>
      </w:r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 w15:restartNumberingAfterBreak="0">
    <w:nsid w:val="0D593882"/>
    <w:multiLevelType w:val="hybridMultilevel"/>
    <w:tmpl w:val="0A28FDF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7BE195B"/>
    <w:multiLevelType w:val="hybridMultilevel"/>
    <w:tmpl w:val="6F8016F8"/>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EF9718A"/>
    <w:multiLevelType w:val="hybridMultilevel"/>
    <w:tmpl w:val="09D0C884"/>
    <w:lvl w:ilvl="0" w:tplc="13FAAB6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8263D6"/>
    <w:multiLevelType w:val="hybridMultilevel"/>
    <w:tmpl w:val="9B0A5C8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63C1221"/>
    <w:multiLevelType w:val="hybridMultilevel"/>
    <w:tmpl w:val="41CA2CEA"/>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6C228C4"/>
    <w:multiLevelType w:val="hybridMultilevel"/>
    <w:tmpl w:val="4BC2CB54"/>
    <w:lvl w:ilvl="0" w:tplc="1012DAAA">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F71162"/>
    <w:multiLevelType w:val="hybridMultilevel"/>
    <w:tmpl w:val="5DCE1880"/>
    <w:lvl w:ilvl="0" w:tplc="FFFFFFFF">
      <w:start w:val="1"/>
      <w:numFmt w:val="bullet"/>
      <w:lvlText w:val=""/>
      <w:lvlJc w:val="left"/>
      <w:pPr>
        <w:ind w:left="480" w:hanging="480"/>
      </w:pPr>
      <w:rPr>
        <w:rFonts w:ascii="Wingdings" w:hAnsi="Wingdings" w:hint="default"/>
      </w:rPr>
    </w:lvl>
    <w:lvl w:ilvl="1" w:tplc="DB60718C">
      <w:start w:val="1"/>
      <w:numFmt w:val="bullet"/>
      <w:lvlText w:val="•"/>
      <w:lvlJc w:val="left"/>
      <w:pPr>
        <w:ind w:left="480" w:hanging="480"/>
      </w:pPr>
      <w:rPr>
        <w:rFonts w:ascii="Arial" w:hAnsi="Arial" w:hint="default"/>
      </w:rPr>
    </w:lvl>
    <w:lvl w:ilvl="2" w:tplc="FFFFFFFF">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1" w15:restartNumberingAfterBreak="0">
    <w:nsid w:val="3515307B"/>
    <w:multiLevelType w:val="hybridMultilevel"/>
    <w:tmpl w:val="47C6D738"/>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480" w:hanging="480"/>
      </w:pPr>
      <w:rPr>
        <w:rFonts w:ascii="Arial" w:hAnsi="Arial" w:hint="default"/>
      </w:rPr>
    </w:lvl>
    <w:lvl w:ilvl="2" w:tplc="04190005">
      <w:start w:val="1"/>
      <w:numFmt w:val="bullet"/>
      <w:lvlText w:val=""/>
      <w:lvlJc w:val="left"/>
      <w:pPr>
        <w:ind w:left="48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2"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8A9769D"/>
    <w:multiLevelType w:val="multilevel"/>
    <w:tmpl w:val="38A976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7AA0767"/>
    <w:multiLevelType w:val="hybridMultilevel"/>
    <w:tmpl w:val="360A7DE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2B5C72"/>
    <w:multiLevelType w:val="hybridMultilevel"/>
    <w:tmpl w:val="70FE613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67EA3A6C"/>
    <w:multiLevelType w:val="hybridMultilevel"/>
    <w:tmpl w:val="69B474EC"/>
    <w:lvl w:ilvl="0" w:tplc="A8C29CC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6F671FE7"/>
    <w:multiLevelType w:val="hybridMultilevel"/>
    <w:tmpl w:val="56FEDD3C"/>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98F2F43"/>
    <w:multiLevelType w:val="hybridMultilevel"/>
    <w:tmpl w:val="6F8016F8"/>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AA85901"/>
    <w:multiLevelType w:val="hybridMultilevel"/>
    <w:tmpl w:val="95A44754"/>
    <w:lvl w:ilvl="0" w:tplc="0132217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1780907215">
    <w:abstractNumId w:val="21"/>
  </w:num>
  <w:num w:numId="2" w16cid:durableId="2066179577">
    <w:abstractNumId w:val="14"/>
  </w:num>
  <w:num w:numId="3" w16cid:durableId="1696270071">
    <w:abstractNumId w:val="1"/>
  </w:num>
  <w:num w:numId="4" w16cid:durableId="1988512168">
    <w:abstractNumId w:val="0"/>
  </w:num>
  <w:num w:numId="5" w16cid:durableId="1507675303">
    <w:abstractNumId w:val="18"/>
    <w:lvlOverride w:ilvl="0">
      <w:startOverride w:val="1"/>
    </w:lvlOverride>
  </w:num>
  <w:num w:numId="6" w16cid:durableId="1064258278">
    <w:abstractNumId w:val="23"/>
  </w:num>
  <w:num w:numId="7" w16cid:durableId="1799715930">
    <w:abstractNumId w:val="19"/>
  </w:num>
  <w:num w:numId="8" w16cid:durableId="1941796645">
    <w:abstractNumId w:val="15"/>
  </w:num>
  <w:num w:numId="9" w16cid:durableId="1679770331">
    <w:abstractNumId w:val="16"/>
  </w:num>
  <w:num w:numId="10" w16cid:durableId="1654682169">
    <w:abstractNumId w:val="22"/>
  </w:num>
  <w:num w:numId="11" w16cid:durableId="896745037">
    <w:abstractNumId w:val="9"/>
  </w:num>
  <w:num w:numId="12" w16cid:durableId="1007253379">
    <w:abstractNumId w:val="19"/>
  </w:num>
  <w:num w:numId="13" w16cid:durableId="692926371">
    <w:abstractNumId w:val="19"/>
  </w:num>
  <w:num w:numId="14" w16cid:durableId="71969501">
    <w:abstractNumId w:val="6"/>
  </w:num>
  <w:num w:numId="15" w16cid:durableId="1764375798">
    <w:abstractNumId w:val="24"/>
  </w:num>
  <w:num w:numId="16" w16cid:durableId="1247761613">
    <w:abstractNumId w:val="25"/>
  </w:num>
  <w:num w:numId="17" w16cid:durableId="15677183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813418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27497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946394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81847086">
    <w:abstractNumId w:val="23"/>
  </w:num>
  <w:num w:numId="22" w16cid:durableId="403575642">
    <w:abstractNumId w:val="19"/>
  </w:num>
  <w:num w:numId="23" w16cid:durableId="921908301">
    <w:abstractNumId w:val="25"/>
  </w:num>
  <w:num w:numId="24" w16cid:durableId="1945458184">
    <w:abstractNumId w:val="16"/>
  </w:num>
  <w:num w:numId="25" w16cid:durableId="1933581646">
    <w:abstractNumId w:val="19"/>
  </w:num>
  <w:num w:numId="26" w16cid:durableId="1930001805">
    <w:abstractNumId w:val="9"/>
  </w:num>
  <w:num w:numId="27" w16cid:durableId="1139690531">
    <w:abstractNumId w:val="19"/>
  </w:num>
  <w:num w:numId="28" w16cid:durableId="1703940179">
    <w:abstractNumId w:val="23"/>
  </w:num>
  <w:num w:numId="29" w16cid:durableId="513154569">
    <w:abstractNumId w:val="7"/>
  </w:num>
  <w:num w:numId="30" w16cid:durableId="801506279">
    <w:abstractNumId w:val="4"/>
  </w:num>
  <w:num w:numId="31" w16cid:durableId="2012634701">
    <w:abstractNumId w:val="19"/>
  </w:num>
  <w:num w:numId="32" w16cid:durableId="271480404">
    <w:abstractNumId w:val="9"/>
  </w:num>
  <w:num w:numId="33" w16cid:durableId="2056540928">
    <w:abstractNumId w:val="24"/>
  </w:num>
  <w:num w:numId="34" w16cid:durableId="678699507">
    <w:abstractNumId w:val="22"/>
  </w:num>
  <w:num w:numId="35" w16cid:durableId="200293040">
    <w:abstractNumId w:val="4"/>
    <w:lvlOverride w:ilvl="0">
      <w:startOverride w:val="1"/>
    </w:lvlOverride>
    <w:lvlOverride w:ilvl="1"/>
    <w:lvlOverride w:ilvl="2"/>
    <w:lvlOverride w:ilvl="3"/>
    <w:lvlOverride w:ilvl="4"/>
    <w:lvlOverride w:ilvl="5"/>
    <w:lvlOverride w:ilvl="6"/>
    <w:lvlOverride w:ilvl="7"/>
    <w:lvlOverride w:ilvl="8"/>
  </w:num>
  <w:num w:numId="36" w16cid:durableId="320547035">
    <w:abstractNumId w:val="10"/>
  </w:num>
  <w:num w:numId="37" w16cid:durableId="1233389431">
    <w:abstractNumId w:val="2"/>
  </w:num>
  <w:num w:numId="38" w16cid:durableId="751776228">
    <w:abstractNumId w:val="11"/>
  </w:num>
  <w:num w:numId="39" w16cid:durableId="1850289767">
    <w:abstractNumId w:val="24"/>
  </w:num>
  <w:num w:numId="40" w16cid:durableId="633678518">
    <w:abstractNumId w:val="9"/>
  </w:num>
  <w:num w:numId="41" w16cid:durableId="1381708457">
    <w:abstractNumId w:val="19"/>
  </w:num>
  <w:num w:numId="42" w16cid:durableId="465394260">
    <w:abstractNumId w:val="24"/>
  </w:num>
  <w:num w:numId="43" w16cid:durableId="1394550196">
    <w:abstractNumId w:val="16"/>
  </w:num>
  <w:num w:numId="44" w16cid:durableId="1332829334">
    <w:abstractNumId w:val="3"/>
  </w:num>
  <w:num w:numId="45" w16cid:durableId="164828584">
    <w:abstractNumId w:val="23"/>
  </w:num>
  <w:num w:numId="46" w16cid:durableId="2075813089">
    <w:abstractNumId w:val="19"/>
  </w:num>
  <w:num w:numId="47" w16cid:durableId="792868596">
    <w:abstractNumId w:val="25"/>
    <w:lvlOverride w:ilvl="0">
      <w:startOverride w:val="1"/>
    </w:lvlOverride>
    <w:lvlOverride w:ilvl="1"/>
    <w:lvlOverride w:ilvl="2"/>
    <w:lvlOverride w:ilvl="3"/>
    <w:lvlOverride w:ilvl="4"/>
    <w:lvlOverride w:ilvl="5"/>
    <w:lvlOverride w:ilvl="6"/>
    <w:lvlOverride w:ilvl="7"/>
    <w:lvlOverride w:ilvl="8"/>
  </w:num>
  <w:num w:numId="48" w16cid:durableId="1546528383">
    <w:abstractNumId w:val="5"/>
  </w:num>
  <w:num w:numId="49" w16cid:durableId="1705016194">
    <w:abstractNumId w:val="24"/>
  </w:num>
  <w:num w:numId="50" w16cid:durableId="1831797289">
    <w:abstractNumId w:val="13"/>
  </w:num>
  <w:num w:numId="51" w16cid:durableId="1573930410">
    <w:abstractNumId w:val="26"/>
  </w:num>
  <w:num w:numId="52" w16cid:durableId="1943343803">
    <w:abstractNumId w:val="20"/>
  </w:num>
  <w:num w:numId="53" w16cid:durableId="434329813">
    <w:abstractNumId w:val="8"/>
  </w:num>
  <w:num w:numId="54" w16cid:durableId="18529864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656841248">
    <w:abstractNumId w:val="20"/>
    <w:lvlOverride w:ilvl="0"/>
    <w:lvlOverride w:ilvl="1"/>
    <w:lvlOverride w:ilvl="2"/>
    <w:lvlOverride w:ilvl="3"/>
    <w:lvlOverride w:ilvl="4"/>
    <w:lvlOverride w:ilvl="5"/>
    <w:lvlOverride w:ilvl="6"/>
    <w:lvlOverride w:ilvl="7"/>
    <w:lvlOverride w:ilvl="8"/>
  </w:num>
  <w:num w:numId="56" w16cid:durableId="13847343">
    <w:abstractNumId w:val="26"/>
    <w:lvlOverride w:ilvl="0"/>
    <w:lvlOverride w:ilvl="1"/>
    <w:lvlOverride w:ilvl="2"/>
    <w:lvlOverride w:ilvl="3"/>
    <w:lvlOverride w:ilvl="4"/>
    <w:lvlOverride w:ilvl="5"/>
    <w:lvlOverride w:ilvl="6"/>
    <w:lvlOverride w:ilvl="7"/>
    <w:lvlOverride w:ilv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DateAndTime/>
  <w:doNotDisplayPageBoundaries/>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1F97"/>
    <w:rsid w:val="00002245"/>
    <w:rsid w:val="00002260"/>
    <w:rsid w:val="00002392"/>
    <w:rsid w:val="0000280B"/>
    <w:rsid w:val="000028BD"/>
    <w:rsid w:val="000028DF"/>
    <w:rsid w:val="00002AC9"/>
    <w:rsid w:val="00002C2F"/>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CBA"/>
    <w:rsid w:val="00010F40"/>
    <w:rsid w:val="00010F52"/>
    <w:rsid w:val="00010FF3"/>
    <w:rsid w:val="00011779"/>
    <w:rsid w:val="000117F0"/>
    <w:rsid w:val="00011858"/>
    <w:rsid w:val="00011AE1"/>
    <w:rsid w:val="00011B0F"/>
    <w:rsid w:val="000121B2"/>
    <w:rsid w:val="000123A7"/>
    <w:rsid w:val="000126C8"/>
    <w:rsid w:val="0001295C"/>
    <w:rsid w:val="00012A64"/>
    <w:rsid w:val="00013036"/>
    <w:rsid w:val="000131AF"/>
    <w:rsid w:val="00013939"/>
    <w:rsid w:val="00013D89"/>
    <w:rsid w:val="000141ED"/>
    <w:rsid w:val="000144DC"/>
    <w:rsid w:val="00014715"/>
    <w:rsid w:val="00014E8B"/>
    <w:rsid w:val="00014F8A"/>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74D"/>
    <w:rsid w:val="00025800"/>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E13"/>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6263"/>
    <w:rsid w:val="0003672F"/>
    <w:rsid w:val="0003683B"/>
    <w:rsid w:val="00037056"/>
    <w:rsid w:val="00037425"/>
    <w:rsid w:val="00037775"/>
    <w:rsid w:val="00037A53"/>
    <w:rsid w:val="00037D05"/>
    <w:rsid w:val="00037F02"/>
    <w:rsid w:val="00040515"/>
    <w:rsid w:val="0004112C"/>
    <w:rsid w:val="000413D6"/>
    <w:rsid w:val="00041DAB"/>
    <w:rsid w:val="0004269E"/>
    <w:rsid w:val="000426C7"/>
    <w:rsid w:val="00042A1C"/>
    <w:rsid w:val="00042CEE"/>
    <w:rsid w:val="00042DFE"/>
    <w:rsid w:val="000430A6"/>
    <w:rsid w:val="000433DD"/>
    <w:rsid w:val="000435A3"/>
    <w:rsid w:val="0004378B"/>
    <w:rsid w:val="000437D2"/>
    <w:rsid w:val="00043815"/>
    <w:rsid w:val="0004440E"/>
    <w:rsid w:val="000447EE"/>
    <w:rsid w:val="00044D3E"/>
    <w:rsid w:val="0004503D"/>
    <w:rsid w:val="00045170"/>
    <w:rsid w:val="000452C5"/>
    <w:rsid w:val="000452F9"/>
    <w:rsid w:val="000456DE"/>
    <w:rsid w:val="00045950"/>
    <w:rsid w:val="00045AC3"/>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6011"/>
    <w:rsid w:val="00056030"/>
    <w:rsid w:val="00056544"/>
    <w:rsid w:val="000569CE"/>
    <w:rsid w:val="00056B40"/>
    <w:rsid w:val="000571F7"/>
    <w:rsid w:val="0005739F"/>
    <w:rsid w:val="00057612"/>
    <w:rsid w:val="00057677"/>
    <w:rsid w:val="000577CA"/>
    <w:rsid w:val="00057F6B"/>
    <w:rsid w:val="0006001A"/>
    <w:rsid w:val="00060401"/>
    <w:rsid w:val="0006059E"/>
    <w:rsid w:val="00060659"/>
    <w:rsid w:val="000608CD"/>
    <w:rsid w:val="00060C3C"/>
    <w:rsid w:val="0006147B"/>
    <w:rsid w:val="00061909"/>
    <w:rsid w:val="0006191E"/>
    <w:rsid w:val="00061A43"/>
    <w:rsid w:val="00061BE4"/>
    <w:rsid w:val="00061C87"/>
    <w:rsid w:val="000621EB"/>
    <w:rsid w:val="0006250D"/>
    <w:rsid w:val="0006251F"/>
    <w:rsid w:val="00062753"/>
    <w:rsid w:val="00062DB5"/>
    <w:rsid w:val="00062E90"/>
    <w:rsid w:val="0006320D"/>
    <w:rsid w:val="00063754"/>
    <w:rsid w:val="00063B7E"/>
    <w:rsid w:val="00063BD7"/>
    <w:rsid w:val="00063D9E"/>
    <w:rsid w:val="00063E5E"/>
    <w:rsid w:val="000641A5"/>
    <w:rsid w:val="000644F6"/>
    <w:rsid w:val="00064658"/>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3D8"/>
    <w:rsid w:val="000707AA"/>
    <w:rsid w:val="00070917"/>
    <w:rsid w:val="00070BE8"/>
    <w:rsid w:val="00070C66"/>
    <w:rsid w:val="00070CB6"/>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6F7"/>
    <w:rsid w:val="00086793"/>
    <w:rsid w:val="00086950"/>
    <w:rsid w:val="00086BA5"/>
    <w:rsid w:val="00086D49"/>
    <w:rsid w:val="00087064"/>
    <w:rsid w:val="0008727D"/>
    <w:rsid w:val="0008734C"/>
    <w:rsid w:val="00087858"/>
    <w:rsid w:val="00090073"/>
    <w:rsid w:val="00090E81"/>
    <w:rsid w:val="00090ED4"/>
    <w:rsid w:val="00091325"/>
    <w:rsid w:val="000917DB"/>
    <w:rsid w:val="00091991"/>
    <w:rsid w:val="00091F15"/>
    <w:rsid w:val="00091F51"/>
    <w:rsid w:val="00092D5C"/>
    <w:rsid w:val="00092FF8"/>
    <w:rsid w:val="000933D8"/>
    <w:rsid w:val="0009343C"/>
    <w:rsid w:val="000934B5"/>
    <w:rsid w:val="00093993"/>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6ED1"/>
    <w:rsid w:val="000972EA"/>
    <w:rsid w:val="00097549"/>
    <w:rsid w:val="0009755B"/>
    <w:rsid w:val="00097725"/>
    <w:rsid w:val="00097D62"/>
    <w:rsid w:val="00097DFB"/>
    <w:rsid w:val="00097FCB"/>
    <w:rsid w:val="000A02C8"/>
    <w:rsid w:val="000A08CE"/>
    <w:rsid w:val="000A0979"/>
    <w:rsid w:val="000A0E52"/>
    <w:rsid w:val="000A0EA4"/>
    <w:rsid w:val="000A1619"/>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6CF"/>
    <w:rsid w:val="000A6894"/>
    <w:rsid w:val="000A68FD"/>
    <w:rsid w:val="000A6A20"/>
    <w:rsid w:val="000A6FE8"/>
    <w:rsid w:val="000A7726"/>
    <w:rsid w:val="000A77F2"/>
    <w:rsid w:val="000A7B17"/>
    <w:rsid w:val="000B0287"/>
    <w:rsid w:val="000B06A9"/>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387D"/>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99D"/>
    <w:rsid w:val="000C0A3C"/>
    <w:rsid w:val="000C0C04"/>
    <w:rsid w:val="000C0C49"/>
    <w:rsid w:val="000C0C65"/>
    <w:rsid w:val="000C0D9C"/>
    <w:rsid w:val="000C1926"/>
    <w:rsid w:val="000C197E"/>
    <w:rsid w:val="000C22E1"/>
    <w:rsid w:val="000C28E3"/>
    <w:rsid w:val="000C2D07"/>
    <w:rsid w:val="000C346F"/>
    <w:rsid w:val="000C3DBB"/>
    <w:rsid w:val="000C45FD"/>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674"/>
    <w:rsid w:val="000D6D54"/>
    <w:rsid w:val="000D6FFB"/>
    <w:rsid w:val="000D7412"/>
    <w:rsid w:val="000D7D65"/>
    <w:rsid w:val="000E0B61"/>
    <w:rsid w:val="000E0C7D"/>
    <w:rsid w:val="000E0CF7"/>
    <w:rsid w:val="000E14B3"/>
    <w:rsid w:val="000E166B"/>
    <w:rsid w:val="000E1A0D"/>
    <w:rsid w:val="000E1BB5"/>
    <w:rsid w:val="000E1CCB"/>
    <w:rsid w:val="000E27CF"/>
    <w:rsid w:val="000E2FAF"/>
    <w:rsid w:val="000E3216"/>
    <w:rsid w:val="000E37D1"/>
    <w:rsid w:val="000E3D57"/>
    <w:rsid w:val="000E448C"/>
    <w:rsid w:val="000E4A20"/>
    <w:rsid w:val="000E4D00"/>
    <w:rsid w:val="000E50A1"/>
    <w:rsid w:val="000E548D"/>
    <w:rsid w:val="000E5BD3"/>
    <w:rsid w:val="000E6A1C"/>
    <w:rsid w:val="000E6E5C"/>
    <w:rsid w:val="000E6EFC"/>
    <w:rsid w:val="000E706C"/>
    <w:rsid w:val="000E7AFA"/>
    <w:rsid w:val="000E7E36"/>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4EAB"/>
    <w:rsid w:val="000F508D"/>
    <w:rsid w:val="000F5150"/>
    <w:rsid w:val="000F51A1"/>
    <w:rsid w:val="000F5497"/>
    <w:rsid w:val="000F565E"/>
    <w:rsid w:val="000F5A49"/>
    <w:rsid w:val="000F62A3"/>
    <w:rsid w:val="000F671E"/>
    <w:rsid w:val="000F6969"/>
    <w:rsid w:val="000F6E42"/>
    <w:rsid w:val="000F73BD"/>
    <w:rsid w:val="000F7842"/>
    <w:rsid w:val="000F787E"/>
    <w:rsid w:val="000F7B27"/>
    <w:rsid w:val="000F7BA3"/>
    <w:rsid w:val="00100136"/>
    <w:rsid w:val="00100AE8"/>
    <w:rsid w:val="00100F21"/>
    <w:rsid w:val="0010118D"/>
    <w:rsid w:val="0010129E"/>
    <w:rsid w:val="001012B9"/>
    <w:rsid w:val="001013EB"/>
    <w:rsid w:val="00101475"/>
    <w:rsid w:val="001014C7"/>
    <w:rsid w:val="00101AAD"/>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C2"/>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263C"/>
    <w:rsid w:val="0011333B"/>
    <w:rsid w:val="001138D4"/>
    <w:rsid w:val="00113B72"/>
    <w:rsid w:val="00114410"/>
    <w:rsid w:val="00114AD7"/>
    <w:rsid w:val="0011522C"/>
    <w:rsid w:val="00115388"/>
    <w:rsid w:val="001153A7"/>
    <w:rsid w:val="001154E1"/>
    <w:rsid w:val="00115809"/>
    <w:rsid w:val="00115F61"/>
    <w:rsid w:val="00115FDA"/>
    <w:rsid w:val="00116525"/>
    <w:rsid w:val="001166B4"/>
    <w:rsid w:val="00116CCF"/>
    <w:rsid w:val="001171FD"/>
    <w:rsid w:val="0011731B"/>
    <w:rsid w:val="00117412"/>
    <w:rsid w:val="0011780E"/>
    <w:rsid w:val="00117D19"/>
    <w:rsid w:val="00117DA7"/>
    <w:rsid w:val="00117E12"/>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8AF"/>
    <w:rsid w:val="00122B1D"/>
    <w:rsid w:val="00123031"/>
    <w:rsid w:val="00123511"/>
    <w:rsid w:val="00123768"/>
    <w:rsid w:val="00123E28"/>
    <w:rsid w:val="00123FC5"/>
    <w:rsid w:val="001246B3"/>
    <w:rsid w:val="001249E7"/>
    <w:rsid w:val="00124C9E"/>
    <w:rsid w:val="00125226"/>
    <w:rsid w:val="001252C5"/>
    <w:rsid w:val="00125AD1"/>
    <w:rsid w:val="00125E2D"/>
    <w:rsid w:val="001260AD"/>
    <w:rsid w:val="001268AD"/>
    <w:rsid w:val="00126DD3"/>
    <w:rsid w:val="00127231"/>
    <w:rsid w:val="001273A9"/>
    <w:rsid w:val="00127A55"/>
    <w:rsid w:val="00127D01"/>
    <w:rsid w:val="00127DF7"/>
    <w:rsid w:val="00130026"/>
    <w:rsid w:val="001305EF"/>
    <w:rsid w:val="001306B7"/>
    <w:rsid w:val="00130D02"/>
    <w:rsid w:val="00130DEB"/>
    <w:rsid w:val="00131070"/>
    <w:rsid w:val="00131136"/>
    <w:rsid w:val="0013147F"/>
    <w:rsid w:val="00131636"/>
    <w:rsid w:val="00131701"/>
    <w:rsid w:val="00131735"/>
    <w:rsid w:val="00131E70"/>
    <w:rsid w:val="00131E9B"/>
    <w:rsid w:val="0013201C"/>
    <w:rsid w:val="00132111"/>
    <w:rsid w:val="001323F1"/>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93B"/>
    <w:rsid w:val="00141B12"/>
    <w:rsid w:val="00141B7B"/>
    <w:rsid w:val="00141BAC"/>
    <w:rsid w:val="00141C9C"/>
    <w:rsid w:val="00141E59"/>
    <w:rsid w:val="001428CA"/>
    <w:rsid w:val="00142DA6"/>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033"/>
    <w:rsid w:val="00146106"/>
    <w:rsid w:val="0014619B"/>
    <w:rsid w:val="0014667F"/>
    <w:rsid w:val="00146E8E"/>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50C"/>
    <w:rsid w:val="00153A33"/>
    <w:rsid w:val="00153A8E"/>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76E"/>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4F8A"/>
    <w:rsid w:val="0016503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10"/>
    <w:rsid w:val="00171754"/>
    <w:rsid w:val="0017180F"/>
    <w:rsid w:val="001729D3"/>
    <w:rsid w:val="00172DC0"/>
    <w:rsid w:val="00172F10"/>
    <w:rsid w:val="0017322C"/>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938"/>
    <w:rsid w:val="00176B45"/>
    <w:rsid w:val="00176ED6"/>
    <w:rsid w:val="00177176"/>
    <w:rsid w:val="00177943"/>
    <w:rsid w:val="001779B5"/>
    <w:rsid w:val="001800E8"/>
    <w:rsid w:val="001801CA"/>
    <w:rsid w:val="0018058D"/>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5E2"/>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E1A"/>
    <w:rsid w:val="001932A4"/>
    <w:rsid w:val="00193528"/>
    <w:rsid w:val="00193686"/>
    <w:rsid w:val="001937DD"/>
    <w:rsid w:val="00193934"/>
    <w:rsid w:val="00193A51"/>
    <w:rsid w:val="00193E31"/>
    <w:rsid w:val="001942DB"/>
    <w:rsid w:val="0019461B"/>
    <w:rsid w:val="00194AF0"/>
    <w:rsid w:val="00194B45"/>
    <w:rsid w:val="00194FD9"/>
    <w:rsid w:val="00195220"/>
    <w:rsid w:val="00195712"/>
    <w:rsid w:val="0019597A"/>
    <w:rsid w:val="00195BE2"/>
    <w:rsid w:val="00195D2C"/>
    <w:rsid w:val="001964F8"/>
    <w:rsid w:val="00196643"/>
    <w:rsid w:val="001967D5"/>
    <w:rsid w:val="001978E1"/>
    <w:rsid w:val="00197B67"/>
    <w:rsid w:val="001A0201"/>
    <w:rsid w:val="001A06B3"/>
    <w:rsid w:val="001A0969"/>
    <w:rsid w:val="001A0E26"/>
    <w:rsid w:val="001A102B"/>
    <w:rsid w:val="001A1035"/>
    <w:rsid w:val="001A13FB"/>
    <w:rsid w:val="001A1461"/>
    <w:rsid w:val="001A14E6"/>
    <w:rsid w:val="001A2124"/>
    <w:rsid w:val="001A225A"/>
    <w:rsid w:val="001A248E"/>
    <w:rsid w:val="001A2545"/>
    <w:rsid w:val="001A2D5D"/>
    <w:rsid w:val="001A2E9E"/>
    <w:rsid w:val="001A2FE8"/>
    <w:rsid w:val="001A357C"/>
    <w:rsid w:val="001A37D0"/>
    <w:rsid w:val="001A3853"/>
    <w:rsid w:val="001A38CD"/>
    <w:rsid w:val="001A391A"/>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D4"/>
    <w:rsid w:val="001A6EE8"/>
    <w:rsid w:val="001A6EF8"/>
    <w:rsid w:val="001A719A"/>
    <w:rsid w:val="001A719D"/>
    <w:rsid w:val="001A780E"/>
    <w:rsid w:val="001A789F"/>
    <w:rsid w:val="001A7FFD"/>
    <w:rsid w:val="001B0250"/>
    <w:rsid w:val="001B065B"/>
    <w:rsid w:val="001B07C0"/>
    <w:rsid w:val="001B0D18"/>
    <w:rsid w:val="001B0F42"/>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F"/>
    <w:rsid w:val="001B55B0"/>
    <w:rsid w:val="001B5750"/>
    <w:rsid w:val="001B63E6"/>
    <w:rsid w:val="001B6AE6"/>
    <w:rsid w:val="001B6BFB"/>
    <w:rsid w:val="001B7093"/>
    <w:rsid w:val="001B75EB"/>
    <w:rsid w:val="001B7708"/>
    <w:rsid w:val="001B7D8D"/>
    <w:rsid w:val="001B7F8C"/>
    <w:rsid w:val="001C016A"/>
    <w:rsid w:val="001C0383"/>
    <w:rsid w:val="001C0645"/>
    <w:rsid w:val="001C0683"/>
    <w:rsid w:val="001C0784"/>
    <w:rsid w:val="001C084A"/>
    <w:rsid w:val="001C0C81"/>
    <w:rsid w:val="001C0DDB"/>
    <w:rsid w:val="001C107D"/>
    <w:rsid w:val="001C125B"/>
    <w:rsid w:val="001C1261"/>
    <w:rsid w:val="001C14EC"/>
    <w:rsid w:val="001C15DA"/>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1B0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0AC"/>
    <w:rsid w:val="001D76FE"/>
    <w:rsid w:val="001D7C85"/>
    <w:rsid w:val="001E0189"/>
    <w:rsid w:val="001E05E3"/>
    <w:rsid w:val="001E0735"/>
    <w:rsid w:val="001E0B40"/>
    <w:rsid w:val="001E12E8"/>
    <w:rsid w:val="001E1AD2"/>
    <w:rsid w:val="001E1C87"/>
    <w:rsid w:val="001E1CF2"/>
    <w:rsid w:val="001E24A5"/>
    <w:rsid w:val="001E2B47"/>
    <w:rsid w:val="001E2BD4"/>
    <w:rsid w:val="001E2C4C"/>
    <w:rsid w:val="001E2C52"/>
    <w:rsid w:val="001E2DF3"/>
    <w:rsid w:val="001E3040"/>
    <w:rsid w:val="001E3B0C"/>
    <w:rsid w:val="001E3BF2"/>
    <w:rsid w:val="001E3C69"/>
    <w:rsid w:val="001E41EB"/>
    <w:rsid w:val="001E4614"/>
    <w:rsid w:val="001E48F4"/>
    <w:rsid w:val="001E4C39"/>
    <w:rsid w:val="001E4C5E"/>
    <w:rsid w:val="001E4D35"/>
    <w:rsid w:val="001E59BA"/>
    <w:rsid w:val="001E59E0"/>
    <w:rsid w:val="001E5A9F"/>
    <w:rsid w:val="001E65F2"/>
    <w:rsid w:val="001E675D"/>
    <w:rsid w:val="001E677B"/>
    <w:rsid w:val="001E6CF5"/>
    <w:rsid w:val="001E701D"/>
    <w:rsid w:val="001E7244"/>
    <w:rsid w:val="001E729E"/>
    <w:rsid w:val="001E766E"/>
    <w:rsid w:val="001E76A9"/>
    <w:rsid w:val="001E78F9"/>
    <w:rsid w:val="001E7990"/>
    <w:rsid w:val="001E7AC0"/>
    <w:rsid w:val="001F1363"/>
    <w:rsid w:val="001F1EFE"/>
    <w:rsid w:val="001F21AA"/>
    <w:rsid w:val="001F2A47"/>
    <w:rsid w:val="001F3096"/>
    <w:rsid w:val="001F30CB"/>
    <w:rsid w:val="001F3227"/>
    <w:rsid w:val="001F3D75"/>
    <w:rsid w:val="001F414E"/>
    <w:rsid w:val="001F437E"/>
    <w:rsid w:val="001F454A"/>
    <w:rsid w:val="001F4A13"/>
    <w:rsid w:val="001F4FCC"/>
    <w:rsid w:val="001F4FD1"/>
    <w:rsid w:val="001F5019"/>
    <w:rsid w:val="001F5099"/>
    <w:rsid w:val="001F5478"/>
    <w:rsid w:val="001F6653"/>
    <w:rsid w:val="001F6DE9"/>
    <w:rsid w:val="001F6EFC"/>
    <w:rsid w:val="001F72F3"/>
    <w:rsid w:val="001F7402"/>
    <w:rsid w:val="001F74C3"/>
    <w:rsid w:val="001F7601"/>
    <w:rsid w:val="001F7BB2"/>
    <w:rsid w:val="001F7D48"/>
    <w:rsid w:val="001F7E57"/>
    <w:rsid w:val="00200198"/>
    <w:rsid w:val="0020044D"/>
    <w:rsid w:val="0020051C"/>
    <w:rsid w:val="00200DBD"/>
    <w:rsid w:val="00200FC8"/>
    <w:rsid w:val="00201D52"/>
    <w:rsid w:val="00201DAC"/>
    <w:rsid w:val="002020DE"/>
    <w:rsid w:val="002027D9"/>
    <w:rsid w:val="00202AC5"/>
    <w:rsid w:val="00202B08"/>
    <w:rsid w:val="00202BC3"/>
    <w:rsid w:val="00202D20"/>
    <w:rsid w:val="00203389"/>
    <w:rsid w:val="00203447"/>
    <w:rsid w:val="00203792"/>
    <w:rsid w:val="00203804"/>
    <w:rsid w:val="0020383F"/>
    <w:rsid w:val="002046F8"/>
    <w:rsid w:val="00204B1F"/>
    <w:rsid w:val="00204B3A"/>
    <w:rsid w:val="00205244"/>
    <w:rsid w:val="00205589"/>
    <w:rsid w:val="00205C67"/>
    <w:rsid w:val="00205DC1"/>
    <w:rsid w:val="00205F2A"/>
    <w:rsid w:val="002061D2"/>
    <w:rsid w:val="002069C4"/>
    <w:rsid w:val="00206F6B"/>
    <w:rsid w:val="00207064"/>
    <w:rsid w:val="0020742C"/>
    <w:rsid w:val="0020756A"/>
    <w:rsid w:val="002077DA"/>
    <w:rsid w:val="00207A14"/>
    <w:rsid w:val="00207CC5"/>
    <w:rsid w:val="00207D20"/>
    <w:rsid w:val="00207ED9"/>
    <w:rsid w:val="0021010E"/>
    <w:rsid w:val="002101B8"/>
    <w:rsid w:val="002104D2"/>
    <w:rsid w:val="00210691"/>
    <w:rsid w:val="00210967"/>
    <w:rsid w:val="002113D4"/>
    <w:rsid w:val="00211717"/>
    <w:rsid w:val="00211A3D"/>
    <w:rsid w:val="00211C84"/>
    <w:rsid w:val="00211CD2"/>
    <w:rsid w:val="002120D2"/>
    <w:rsid w:val="002124C2"/>
    <w:rsid w:val="002127B6"/>
    <w:rsid w:val="00212D47"/>
    <w:rsid w:val="00212DAD"/>
    <w:rsid w:val="0021369D"/>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8FD"/>
    <w:rsid w:val="00217B03"/>
    <w:rsid w:val="002200DA"/>
    <w:rsid w:val="00220104"/>
    <w:rsid w:val="002202FA"/>
    <w:rsid w:val="0022041B"/>
    <w:rsid w:val="0022066D"/>
    <w:rsid w:val="002208A0"/>
    <w:rsid w:val="00220BF7"/>
    <w:rsid w:val="00220C14"/>
    <w:rsid w:val="00220FCE"/>
    <w:rsid w:val="0022170A"/>
    <w:rsid w:val="00222433"/>
    <w:rsid w:val="00222A7A"/>
    <w:rsid w:val="00222CDC"/>
    <w:rsid w:val="0022309C"/>
    <w:rsid w:val="00223189"/>
    <w:rsid w:val="00223445"/>
    <w:rsid w:val="00223D65"/>
    <w:rsid w:val="00223E32"/>
    <w:rsid w:val="00223E6F"/>
    <w:rsid w:val="00223E76"/>
    <w:rsid w:val="00223FC7"/>
    <w:rsid w:val="002244BE"/>
    <w:rsid w:val="0022450A"/>
    <w:rsid w:val="002245C7"/>
    <w:rsid w:val="00224747"/>
    <w:rsid w:val="0022489C"/>
    <w:rsid w:val="00224A2C"/>
    <w:rsid w:val="00224AF6"/>
    <w:rsid w:val="00224BDD"/>
    <w:rsid w:val="002250ED"/>
    <w:rsid w:val="0022547C"/>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4B4"/>
    <w:rsid w:val="0023360D"/>
    <w:rsid w:val="0023386D"/>
    <w:rsid w:val="00233B8C"/>
    <w:rsid w:val="00233C5D"/>
    <w:rsid w:val="00233CB9"/>
    <w:rsid w:val="00233DFB"/>
    <w:rsid w:val="00234111"/>
    <w:rsid w:val="002343C6"/>
    <w:rsid w:val="002344DB"/>
    <w:rsid w:val="00234715"/>
    <w:rsid w:val="0023488B"/>
    <w:rsid w:val="00235836"/>
    <w:rsid w:val="00235BAE"/>
    <w:rsid w:val="00236070"/>
    <w:rsid w:val="0023643E"/>
    <w:rsid w:val="002369D5"/>
    <w:rsid w:val="00236CBD"/>
    <w:rsid w:val="0023735A"/>
    <w:rsid w:val="00237EB7"/>
    <w:rsid w:val="00240018"/>
    <w:rsid w:val="002400C4"/>
    <w:rsid w:val="00240861"/>
    <w:rsid w:val="00240B68"/>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403"/>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C7F"/>
    <w:rsid w:val="00260FB8"/>
    <w:rsid w:val="00261162"/>
    <w:rsid w:val="00261182"/>
    <w:rsid w:val="002616D4"/>
    <w:rsid w:val="00261C59"/>
    <w:rsid w:val="00261EFA"/>
    <w:rsid w:val="002620B3"/>
    <w:rsid w:val="0026241A"/>
    <w:rsid w:val="00262571"/>
    <w:rsid w:val="00262810"/>
    <w:rsid w:val="00262D8D"/>
    <w:rsid w:val="0026334E"/>
    <w:rsid w:val="0026359C"/>
    <w:rsid w:val="0026381F"/>
    <w:rsid w:val="00263BE4"/>
    <w:rsid w:val="00263C2F"/>
    <w:rsid w:val="00264127"/>
    <w:rsid w:val="00264363"/>
    <w:rsid w:val="00264393"/>
    <w:rsid w:val="00264548"/>
    <w:rsid w:val="00264F32"/>
    <w:rsid w:val="00265292"/>
    <w:rsid w:val="002652D5"/>
    <w:rsid w:val="00265645"/>
    <w:rsid w:val="00265943"/>
    <w:rsid w:val="00265A60"/>
    <w:rsid w:val="00265A76"/>
    <w:rsid w:val="00265E93"/>
    <w:rsid w:val="00265FB1"/>
    <w:rsid w:val="002661DA"/>
    <w:rsid w:val="002666DD"/>
    <w:rsid w:val="00266830"/>
    <w:rsid w:val="002669F1"/>
    <w:rsid w:val="00266FC3"/>
    <w:rsid w:val="00267410"/>
    <w:rsid w:val="00267432"/>
    <w:rsid w:val="0026792B"/>
    <w:rsid w:val="00267C45"/>
    <w:rsid w:val="00270387"/>
    <w:rsid w:val="00270643"/>
    <w:rsid w:val="00270C59"/>
    <w:rsid w:val="00271547"/>
    <w:rsid w:val="00271A18"/>
    <w:rsid w:val="00271B24"/>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C7C"/>
    <w:rsid w:val="00276E14"/>
    <w:rsid w:val="0027780A"/>
    <w:rsid w:val="00277836"/>
    <w:rsid w:val="00277C94"/>
    <w:rsid w:val="00277CAE"/>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A88"/>
    <w:rsid w:val="00283BE2"/>
    <w:rsid w:val="00283E79"/>
    <w:rsid w:val="0028414D"/>
    <w:rsid w:val="00284219"/>
    <w:rsid w:val="00284336"/>
    <w:rsid w:val="002846D5"/>
    <w:rsid w:val="002848C7"/>
    <w:rsid w:val="00284DEE"/>
    <w:rsid w:val="00284E71"/>
    <w:rsid w:val="00285156"/>
    <w:rsid w:val="00285510"/>
    <w:rsid w:val="002859F4"/>
    <w:rsid w:val="0028617E"/>
    <w:rsid w:val="00286227"/>
    <w:rsid w:val="00286384"/>
    <w:rsid w:val="00286463"/>
    <w:rsid w:val="002865B7"/>
    <w:rsid w:val="002867BD"/>
    <w:rsid w:val="00286E52"/>
    <w:rsid w:val="002873D1"/>
    <w:rsid w:val="00287627"/>
    <w:rsid w:val="002878F5"/>
    <w:rsid w:val="00287908"/>
    <w:rsid w:val="00287B58"/>
    <w:rsid w:val="00287DBE"/>
    <w:rsid w:val="00287FFD"/>
    <w:rsid w:val="0029032B"/>
    <w:rsid w:val="0029042E"/>
    <w:rsid w:val="00290499"/>
    <w:rsid w:val="00290634"/>
    <w:rsid w:val="002906E7"/>
    <w:rsid w:val="002907BA"/>
    <w:rsid w:val="00290D19"/>
    <w:rsid w:val="002910EE"/>
    <w:rsid w:val="00291296"/>
    <w:rsid w:val="0029170E"/>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95D"/>
    <w:rsid w:val="002A5A62"/>
    <w:rsid w:val="002A5B7C"/>
    <w:rsid w:val="002A64D0"/>
    <w:rsid w:val="002A64E2"/>
    <w:rsid w:val="002A6A9E"/>
    <w:rsid w:val="002A6F00"/>
    <w:rsid w:val="002A7275"/>
    <w:rsid w:val="002A73F2"/>
    <w:rsid w:val="002A7608"/>
    <w:rsid w:val="002A76A4"/>
    <w:rsid w:val="002A7AA8"/>
    <w:rsid w:val="002A7EFD"/>
    <w:rsid w:val="002A7F4E"/>
    <w:rsid w:val="002B034A"/>
    <w:rsid w:val="002B072A"/>
    <w:rsid w:val="002B132E"/>
    <w:rsid w:val="002B1398"/>
    <w:rsid w:val="002B19F1"/>
    <w:rsid w:val="002B1DA0"/>
    <w:rsid w:val="002B23F4"/>
    <w:rsid w:val="002B2813"/>
    <w:rsid w:val="002B2E28"/>
    <w:rsid w:val="002B2FC4"/>
    <w:rsid w:val="002B300D"/>
    <w:rsid w:val="002B3332"/>
    <w:rsid w:val="002B3404"/>
    <w:rsid w:val="002B35DB"/>
    <w:rsid w:val="002B3642"/>
    <w:rsid w:val="002B3988"/>
    <w:rsid w:val="002B3BC1"/>
    <w:rsid w:val="002B3E72"/>
    <w:rsid w:val="002B3ECB"/>
    <w:rsid w:val="002B4611"/>
    <w:rsid w:val="002B4816"/>
    <w:rsid w:val="002B4C8C"/>
    <w:rsid w:val="002B5565"/>
    <w:rsid w:val="002B5808"/>
    <w:rsid w:val="002B606E"/>
    <w:rsid w:val="002B6194"/>
    <w:rsid w:val="002B644C"/>
    <w:rsid w:val="002B6850"/>
    <w:rsid w:val="002B6DF5"/>
    <w:rsid w:val="002B70BB"/>
    <w:rsid w:val="002B773C"/>
    <w:rsid w:val="002B7DE6"/>
    <w:rsid w:val="002C0245"/>
    <w:rsid w:val="002C1163"/>
    <w:rsid w:val="002C13C1"/>
    <w:rsid w:val="002C13D8"/>
    <w:rsid w:val="002C1504"/>
    <w:rsid w:val="002C1662"/>
    <w:rsid w:val="002C18DD"/>
    <w:rsid w:val="002C1C02"/>
    <w:rsid w:val="002C1D6A"/>
    <w:rsid w:val="002C1D8E"/>
    <w:rsid w:val="002C2BBC"/>
    <w:rsid w:val="002C2C19"/>
    <w:rsid w:val="002C3351"/>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BB5"/>
    <w:rsid w:val="002D0D79"/>
    <w:rsid w:val="002D1181"/>
    <w:rsid w:val="002D14CE"/>
    <w:rsid w:val="002D1887"/>
    <w:rsid w:val="002D18AA"/>
    <w:rsid w:val="002D1960"/>
    <w:rsid w:val="002D1AEA"/>
    <w:rsid w:val="002D1B3F"/>
    <w:rsid w:val="002D2B2E"/>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D74DE"/>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0DCB"/>
    <w:rsid w:val="002F1318"/>
    <w:rsid w:val="002F16E5"/>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6B"/>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788"/>
    <w:rsid w:val="002F7D8D"/>
    <w:rsid w:val="002F7FF6"/>
    <w:rsid w:val="0030017A"/>
    <w:rsid w:val="003002F9"/>
    <w:rsid w:val="0030043E"/>
    <w:rsid w:val="00301000"/>
    <w:rsid w:val="00301089"/>
    <w:rsid w:val="00301111"/>
    <w:rsid w:val="00301289"/>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CE2"/>
    <w:rsid w:val="00303E1E"/>
    <w:rsid w:val="0030412A"/>
    <w:rsid w:val="00304565"/>
    <w:rsid w:val="003045E6"/>
    <w:rsid w:val="003048D7"/>
    <w:rsid w:val="00304CE2"/>
    <w:rsid w:val="00304D1E"/>
    <w:rsid w:val="0030508C"/>
    <w:rsid w:val="0030537E"/>
    <w:rsid w:val="00305599"/>
    <w:rsid w:val="003056C7"/>
    <w:rsid w:val="00305929"/>
    <w:rsid w:val="00305963"/>
    <w:rsid w:val="00305AC4"/>
    <w:rsid w:val="003065E3"/>
    <w:rsid w:val="0030684E"/>
    <w:rsid w:val="003069D1"/>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0C9"/>
    <w:rsid w:val="0031324F"/>
    <w:rsid w:val="00313269"/>
    <w:rsid w:val="00313A9A"/>
    <w:rsid w:val="00313CB0"/>
    <w:rsid w:val="00313E0F"/>
    <w:rsid w:val="00313F96"/>
    <w:rsid w:val="00314CD0"/>
    <w:rsid w:val="00314D5F"/>
    <w:rsid w:val="00314D93"/>
    <w:rsid w:val="00314E50"/>
    <w:rsid w:val="00314E6B"/>
    <w:rsid w:val="00314F76"/>
    <w:rsid w:val="003159C3"/>
    <w:rsid w:val="00315C3B"/>
    <w:rsid w:val="00315DDF"/>
    <w:rsid w:val="00316164"/>
    <w:rsid w:val="00316B4F"/>
    <w:rsid w:val="00316E22"/>
    <w:rsid w:val="00316E38"/>
    <w:rsid w:val="00316E73"/>
    <w:rsid w:val="003172B9"/>
    <w:rsid w:val="003176FD"/>
    <w:rsid w:val="00317E30"/>
    <w:rsid w:val="00317EC3"/>
    <w:rsid w:val="00317F24"/>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65E"/>
    <w:rsid w:val="00331903"/>
    <w:rsid w:val="00331C6A"/>
    <w:rsid w:val="00332709"/>
    <w:rsid w:val="00333319"/>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B61"/>
    <w:rsid w:val="00336C0D"/>
    <w:rsid w:val="003370DD"/>
    <w:rsid w:val="0033715B"/>
    <w:rsid w:val="00337300"/>
    <w:rsid w:val="00337961"/>
    <w:rsid w:val="00337AB4"/>
    <w:rsid w:val="00337B89"/>
    <w:rsid w:val="00337D71"/>
    <w:rsid w:val="00340BDE"/>
    <w:rsid w:val="00340EC0"/>
    <w:rsid w:val="0034111C"/>
    <w:rsid w:val="003411BB"/>
    <w:rsid w:val="003412C8"/>
    <w:rsid w:val="00341AF3"/>
    <w:rsid w:val="00341B77"/>
    <w:rsid w:val="00341E83"/>
    <w:rsid w:val="0034222E"/>
    <w:rsid w:val="00342298"/>
    <w:rsid w:val="0034267D"/>
    <w:rsid w:val="003429AC"/>
    <w:rsid w:val="00342D4E"/>
    <w:rsid w:val="00342E17"/>
    <w:rsid w:val="00342E44"/>
    <w:rsid w:val="0034371C"/>
    <w:rsid w:val="00343854"/>
    <w:rsid w:val="00343863"/>
    <w:rsid w:val="00343FE8"/>
    <w:rsid w:val="0034444D"/>
    <w:rsid w:val="00344510"/>
    <w:rsid w:val="003447A5"/>
    <w:rsid w:val="00344DAB"/>
    <w:rsid w:val="00345022"/>
    <w:rsid w:val="003456F3"/>
    <w:rsid w:val="0034578A"/>
    <w:rsid w:val="00345F76"/>
    <w:rsid w:val="00346158"/>
    <w:rsid w:val="00346539"/>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49E3"/>
    <w:rsid w:val="0035510E"/>
    <w:rsid w:val="00355848"/>
    <w:rsid w:val="003558EC"/>
    <w:rsid w:val="00355A61"/>
    <w:rsid w:val="00355BCB"/>
    <w:rsid w:val="0035608F"/>
    <w:rsid w:val="00356345"/>
    <w:rsid w:val="0035638A"/>
    <w:rsid w:val="003566D8"/>
    <w:rsid w:val="00356893"/>
    <w:rsid w:val="00356AEF"/>
    <w:rsid w:val="00356CD8"/>
    <w:rsid w:val="00356EFD"/>
    <w:rsid w:val="0035759D"/>
    <w:rsid w:val="00357B9C"/>
    <w:rsid w:val="00357DBA"/>
    <w:rsid w:val="00357E4F"/>
    <w:rsid w:val="00357F2D"/>
    <w:rsid w:val="00360044"/>
    <w:rsid w:val="00360693"/>
    <w:rsid w:val="00360A11"/>
    <w:rsid w:val="00360A5E"/>
    <w:rsid w:val="003610EE"/>
    <w:rsid w:val="003611E7"/>
    <w:rsid w:val="00361A00"/>
    <w:rsid w:val="00361B42"/>
    <w:rsid w:val="003625B7"/>
    <w:rsid w:val="0036294F"/>
    <w:rsid w:val="00362A48"/>
    <w:rsid w:val="0036408B"/>
    <w:rsid w:val="003640B9"/>
    <w:rsid w:val="003642A6"/>
    <w:rsid w:val="00364384"/>
    <w:rsid w:val="003643CB"/>
    <w:rsid w:val="003649D3"/>
    <w:rsid w:val="00364DFD"/>
    <w:rsid w:val="0036512A"/>
    <w:rsid w:val="003657B4"/>
    <w:rsid w:val="00365A0C"/>
    <w:rsid w:val="00365B13"/>
    <w:rsid w:val="00365D8F"/>
    <w:rsid w:val="00365F03"/>
    <w:rsid w:val="0036634E"/>
    <w:rsid w:val="0036652C"/>
    <w:rsid w:val="0036658D"/>
    <w:rsid w:val="0036694E"/>
    <w:rsid w:val="0036717B"/>
    <w:rsid w:val="00367473"/>
    <w:rsid w:val="003674B3"/>
    <w:rsid w:val="003676B4"/>
    <w:rsid w:val="003679D0"/>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A9B"/>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107"/>
    <w:rsid w:val="0038049F"/>
    <w:rsid w:val="003808DC"/>
    <w:rsid w:val="00380D92"/>
    <w:rsid w:val="00381197"/>
    <w:rsid w:val="00381B18"/>
    <w:rsid w:val="003823F2"/>
    <w:rsid w:val="00382BF6"/>
    <w:rsid w:val="00383AF2"/>
    <w:rsid w:val="00384091"/>
    <w:rsid w:val="00384126"/>
    <w:rsid w:val="003842CD"/>
    <w:rsid w:val="003843D6"/>
    <w:rsid w:val="0038481C"/>
    <w:rsid w:val="0038483B"/>
    <w:rsid w:val="00384872"/>
    <w:rsid w:val="00384D39"/>
    <w:rsid w:val="00384F0A"/>
    <w:rsid w:val="003850E6"/>
    <w:rsid w:val="003855D0"/>
    <w:rsid w:val="00385A1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0FA"/>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DCF"/>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7F"/>
    <w:rsid w:val="003A5D71"/>
    <w:rsid w:val="003A5D8A"/>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01"/>
    <w:rsid w:val="003B206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458"/>
    <w:rsid w:val="003C778B"/>
    <w:rsid w:val="003C78B6"/>
    <w:rsid w:val="003C79A7"/>
    <w:rsid w:val="003C7D00"/>
    <w:rsid w:val="003C7E14"/>
    <w:rsid w:val="003D01A6"/>
    <w:rsid w:val="003D01F4"/>
    <w:rsid w:val="003D04D4"/>
    <w:rsid w:val="003D053B"/>
    <w:rsid w:val="003D060C"/>
    <w:rsid w:val="003D0FD8"/>
    <w:rsid w:val="003D2465"/>
    <w:rsid w:val="003D2490"/>
    <w:rsid w:val="003D24D5"/>
    <w:rsid w:val="003D24F2"/>
    <w:rsid w:val="003D36EA"/>
    <w:rsid w:val="003D3A8C"/>
    <w:rsid w:val="003D3B25"/>
    <w:rsid w:val="003D3E24"/>
    <w:rsid w:val="003D3E60"/>
    <w:rsid w:val="003D402B"/>
    <w:rsid w:val="003D43A7"/>
    <w:rsid w:val="003D4A58"/>
    <w:rsid w:val="003D4D37"/>
    <w:rsid w:val="003D4F4C"/>
    <w:rsid w:val="003D52E9"/>
    <w:rsid w:val="003D5507"/>
    <w:rsid w:val="003D55EF"/>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DC6"/>
    <w:rsid w:val="003E2095"/>
    <w:rsid w:val="003E21A7"/>
    <w:rsid w:val="003E2734"/>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E7EEC"/>
    <w:rsid w:val="003F01DB"/>
    <w:rsid w:val="003F032D"/>
    <w:rsid w:val="003F0C92"/>
    <w:rsid w:val="003F0CD8"/>
    <w:rsid w:val="003F0EC4"/>
    <w:rsid w:val="003F1086"/>
    <w:rsid w:val="003F15C1"/>
    <w:rsid w:val="003F163F"/>
    <w:rsid w:val="003F16EB"/>
    <w:rsid w:val="003F1F3E"/>
    <w:rsid w:val="003F2578"/>
    <w:rsid w:val="003F290B"/>
    <w:rsid w:val="003F3888"/>
    <w:rsid w:val="003F3EBC"/>
    <w:rsid w:val="003F48CA"/>
    <w:rsid w:val="003F48CE"/>
    <w:rsid w:val="003F5056"/>
    <w:rsid w:val="003F590F"/>
    <w:rsid w:val="003F5A1C"/>
    <w:rsid w:val="003F5A3A"/>
    <w:rsid w:val="003F5E87"/>
    <w:rsid w:val="003F6025"/>
    <w:rsid w:val="003F6095"/>
    <w:rsid w:val="003F643A"/>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9FB"/>
    <w:rsid w:val="00404A07"/>
    <w:rsid w:val="00404D3C"/>
    <w:rsid w:val="00404EFB"/>
    <w:rsid w:val="004053E4"/>
    <w:rsid w:val="004054EE"/>
    <w:rsid w:val="00405A02"/>
    <w:rsid w:val="00406A6B"/>
    <w:rsid w:val="004072F2"/>
    <w:rsid w:val="00407323"/>
    <w:rsid w:val="0040762A"/>
    <w:rsid w:val="00407848"/>
    <w:rsid w:val="00407B7D"/>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358"/>
    <w:rsid w:val="004207F3"/>
    <w:rsid w:val="00421132"/>
    <w:rsid w:val="00421290"/>
    <w:rsid w:val="004213ED"/>
    <w:rsid w:val="004218CE"/>
    <w:rsid w:val="0042191F"/>
    <w:rsid w:val="00421B79"/>
    <w:rsid w:val="004220D1"/>
    <w:rsid w:val="00422227"/>
    <w:rsid w:val="0042232E"/>
    <w:rsid w:val="0042248E"/>
    <w:rsid w:val="004224A8"/>
    <w:rsid w:val="00422E0A"/>
    <w:rsid w:val="00423845"/>
    <w:rsid w:val="0042385B"/>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15B"/>
    <w:rsid w:val="0043148E"/>
    <w:rsid w:val="00431582"/>
    <w:rsid w:val="00431653"/>
    <w:rsid w:val="00431798"/>
    <w:rsid w:val="004317CF"/>
    <w:rsid w:val="00431D40"/>
    <w:rsid w:val="00431E51"/>
    <w:rsid w:val="00431E59"/>
    <w:rsid w:val="00432110"/>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E5"/>
    <w:rsid w:val="004372CE"/>
    <w:rsid w:val="004373B9"/>
    <w:rsid w:val="00437DBB"/>
    <w:rsid w:val="00437DDB"/>
    <w:rsid w:val="00440604"/>
    <w:rsid w:val="0044098B"/>
    <w:rsid w:val="00440BCC"/>
    <w:rsid w:val="004420F3"/>
    <w:rsid w:val="00442160"/>
    <w:rsid w:val="004421DD"/>
    <w:rsid w:val="0044270F"/>
    <w:rsid w:val="00442ADE"/>
    <w:rsid w:val="00442BD6"/>
    <w:rsid w:val="00442D2E"/>
    <w:rsid w:val="00442D6C"/>
    <w:rsid w:val="00442EAE"/>
    <w:rsid w:val="004430A7"/>
    <w:rsid w:val="00443230"/>
    <w:rsid w:val="004439B4"/>
    <w:rsid w:val="00443D0F"/>
    <w:rsid w:val="00443FEA"/>
    <w:rsid w:val="004442C9"/>
    <w:rsid w:val="00444322"/>
    <w:rsid w:val="004446B4"/>
    <w:rsid w:val="00444BFB"/>
    <w:rsid w:val="004456CB"/>
    <w:rsid w:val="0044594C"/>
    <w:rsid w:val="004459CB"/>
    <w:rsid w:val="00445C85"/>
    <w:rsid w:val="00445CA4"/>
    <w:rsid w:val="00445FF7"/>
    <w:rsid w:val="00446611"/>
    <w:rsid w:val="00446C4B"/>
    <w:rsid w:val="004471AF"/>
    <w:rsid w:val="00447371"/>
    <w:rsid w:val="0044761A"/>
    <w:rsid w:val="00447D98"/>
    <w:rsid w:val="00447F06"/>
    <w:rsid w:val="00450333"/>
    <w:rsid w:val="0045132D"/>
    <w:rsid w:val="00451440"/>
    <w:rsid w:val="00451518"/>
    <w:rsid w:val="00451BEF"/>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6E1"/>
    <w:rsid w:val="00455D25"/>
    <w:rsid w:val="00455D8B"/>
    <w:rsid w:val="00455D9D"/>
    <w:rsid w:val="00455DA0"/>
    <w:rsid w:val="004560D5"/>
    <w:rsid w:val="00456257"/>
    <w:rsid w:val="0045629B"/>
    <w:rsid w:val="00456316"/>
    <w:rsid w:val="004564C8"/>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5BE"/>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5B3C"/>
    <w:rsid w:val="00465D7E"/>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773"/>
    <w:rsid w:val="004767E2"/>
    <w:rsid w:val="00476991"/>
    <w:rsid w:val="00476AE9"/>
    <w:rsid w:val="004772E9"/>
    <w:rsid w:val="004777D2"/>
    <w:rsid w:val="004777D8"/>
    <w:rsid w:val="00477846"/>
    <w:rsid w:val="00477DB3"/>
    <w:rsid w:val="00477E9B"/>
    <w:rsid w:val="00477FEB"/>
    <w:rsid w:val="0048041A"/>
    <w:rsid w:val="004805B4"/>
    <w:rsid w:val="00480B4F"/>
    <w:rsid w:val="00480C33"/>
    <w:rsid w:val="00480C41"/>
    <w:rsid w:val="00481019"/>
    <w:rsid w:val="00481AA4"/>
    <w:rsid w:val="00481D81"/>
    <w:rsid w:val="004828DB"/>
    <w:rsid w:val="00482B8B"/>
    <w:rsid w:val="00482CB5"/>
    <w:rsid w:val="00483261"/>
    <w:rsid w:val="0048336C"/>
    <w:rsid w:val="00483651"/>
    <w:rsid w:val="00483B04"/>
    <w:rsid w:val="00483C8E"/>
    <w:rsid w:val="00483D94"/>
    <w:rsid w:val="00483F69"/>
    <w:rsid w:val="004841FB"/>
    <w:rsid w:val="00484452"/>
    <w:rsid w:val="004845F8"/>
    <w:rsid w:val="0048465B"/>
    <w:rsid w:val="00484BCF"/>
    <w:rsid w:val="00484E6D"/>
    <w:rsid w:val="00485731"/>
    <w:rsid w:val="004859E6"/>
    <w:rsid w:val="00485A04"/>
    <w:rsid w:val="00485BAB"/>
    <w:rsid w:val="00486060"/>
    <w:rsid w:val="00486BFC"/>
    <w:rsid w:val="00487495"/>
    <w:rsid w:val="00487E07"/>
    <w:rsid w:val="00490B88"/>
    <w:rsid w:val="00490BE2"/>
    <w:rsid w:val="00491695"/>
    <w:rsid w:val="004918A2"/>
    <w:rsid w:val="004921DE"/>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002"/>
    <w:rsid w:val="004A438D"/>
    <w:rsid w:val="004A45F3"/>
    <w:rsid w:val="004A474E"/>
    <w:rsid w:val="004A48F8"/>
    <w:rsid w:val="004A4EE7"/>
    <w:rsid w:val="004A55C5"/>
    <w:rsid w:val="004A5663"/>
    <w:rsid w:val="004A566A"/>
    <w:rsid w:val="004A62A0"/>
    <w:rsid w:val="004A682D"/>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0B"/>
    <w:rsid w:val="004B28AB"/>
    <w:rsid w:val="004B2F1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4301"/>
    <w:rsid w:val="004C4471"/>
    <w:rsid w:val="004C452A"/>
    <w:rsid w:val="004C4C6C"/>
    <w:rsid w:val="004C5146"/>
    <w:rsid w:val="004C5700"/>
    <w:rsid w:val="004C600F"/>
    <w:rsid w:val="004C61B9"/>
    <w:rsid w:val="004C656F"/>
    <w:rsid w:val="004C6867"/>
    <w:rsid w:val="004C6FCF"/>
    <w:rsid w:val="004C737B"/>
    <w:rsid w:val="004C7423"/>
    <w:rsid w:val="004C795A"/>
    <w:rsid w:val="004C7AB4"/>
    <w:rsid w:val="004D025D"/>
    <w:rsid w:val="004D044A"/>
    <w:rsid w:val="004D05A7"/>
    <w:rsid w:val="004D0607"/>
    <w:rsid w:val="004D0BA3"/>
    <w:rsid w:val="004D0D2E"/>
    <w:rsid w:val="004D0F9C"/>
    <w:rsid w:val="004D1252"/>
    <w:rsid w:val="004D139B"/>
    <w:rsid w:val="004D1414"/>
    <w:rsid w:val="004D1915"/>
    <w:rsid w:val="004D2160"/>
    <w:rsid w:val="004D23CF"/>
    <w:rsid w:val="004D29C0"/>
    <w:rsid w:val="004D2EE0"/>
    <w:rsid w:val="004D3391"/>
    <w:rsid w:val="004D35BA"/>
    <w:rsid w:val="004D36DE"/>
    <w:rsid w:val="004D3FA6"/>
    <w:rsid w:val="004D4225"/>
    <w:rsid w:val="004D445E"/>
    <w:rsid w:val="004D4614"/>
    <w:rsid w:val="004D4A5E"/>
    <w:rsid w:val="004D4C91"/>
    <w:rsid w:val="004D549E"/>
    <w:rsid w:val="004D5567"/>
    <w:rsid w:val="004D5D00"/>
    <w:rsid w:val="004D6286"/>
    <w:rsid w:val="004D6436"/>
    <w:rsid w:val="004D744F"/>
    <w:rsid w:val="004D7B89"/>
    <w:rsid w:val="004D7DCD"/>
    <w:rsid w:val="004D7E05"/>
    <w:rsid w:val="004D7F50"/>
    <w:rsid w:val="004E07BB"/>
    <w:rsid w:val="004E09E8"/>
    <w:rsid w:val="004E0A65"/>
    <w:rsid w:val="004E0BCB"/>
    <w:rsid w:val="004E0F2A"/>
    <w:rsid w:val="004E1030"/>
    <w:rsid w:val="004E1230"/>
    <w:rsid w:val="004E1B0C"/>
    <w:rsid w:val="004E1B3E"/>
    <w:rsid w:val="004E1D09"/>
    <w:rsid w:val="004E1DA7"/>
    <w:rsid w:val="004E2242"/>
    <w:rsid w:val="004E245D"/>
    <w:rsid w:val="004E27A5"/>
    <w:rsid w:val="004E28CC"/>
    <w:rsid w:val="004E32F4"/>
    <w:rsid w:val="004E3356"/>
    <w:rsid w:val="004E3899"/>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F00EC"/>
    <w:rsid w:val="004F02D8"/>
    <w:rsid w:val="004F0D2A"/>
    <w:rsid w:val="004F0D60"/>
    <w:rsid w:val="004F0DB4"/>
    <w:rsid w:val="004F0DD5"/>
    <w:rsid w:val="004F0F44"/>
    <w:rsid w:val="004F1097"/>
    <w:rsid w:val="004F1321"/>
    <w:rsid w:val="004F1A95"/>
    <w:rsid w:val="004F2ADF"/>
    <w:rsid w:val="004F3489"/>
    <w:rsid w:val="004F356A"/>
    <w:rsid w:val="004F3B83"/>
    <w:rsid w:val="004F427D"/>
    <w:rsid w:val="004F491E"/>
    <w:rsid w:val="004F4ED7"/>
    <w:rsid w:val="004F4EEC"/>
    <w:rsid w:val="004F5025"/>
    <w:rsid w:val="004F53B8"/>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F8D"/>
    <w:rsid w:val="0050049A"/>
    <w:rsid w:val="0050075A"/>
    <w:rsid w:val="00500815"/>
    <w:rsid w:val="005013A6"/>
    <w:rsid w:val="00501B1E"/>
    <w:rsid w:val="00501FE2"/>
    <w:rsid w:val="00502410"/>
    <w:rsid w:val="00502BBA"/>
    <w:rsid w:val="00502DBB"/>
    <w:rsid w:val="00502EF5"/>
    <w:rsid w:val="00503196"/>
    <w:rsid w:val="005032CB"/>
    <w:rsid w:val="00503583"/>
    <w:rsid w:val="00503591"/>
    <w:rsid w:val="005036E5"/>
    <w:rsid w:val="00503BB1"/>
    <w:rsid w:val="00503D36"/>
    <w:rsid w:val="00503EDB"/>
    <w:rsid w:val="0050450B"/>
    <w:rsid w:val="005048AB"/>
    <w:rsid w:val="00504CCA"/>
    <w:rsid w:val="005051B6"/>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8F"/>
    <w:rsid w:val="005106B5"/>
    <w:rsid w:val="005106D6"/>
    <w:rsid w:val="00511079"/>
    <w:rsid w:val="00511125"/>
    <w:rsid w:val="005112B9"/>
    <w:rsid w:val="0051133A"/>
    <w:rsid w:val="00511A13"/>
    <w:rsid w:val="00511EF7"/>
    <w:rsid w:val="00511F3A"/>
    <w:rsid w:val="005124A4"/>
    <w:rsid w:val="00512A57"/>
    <w:rsid w:val="00513BA7"/>
    <w:rsid w:val="0051423C"/>
    <w:rsid w:val="0051425B"/>
    <w:rsid w:val="00514261"/>
    <w:rsid w:val="0051487E"/>
    <w:rsid w:val="00514D9F"/>
    <w:rsid w:val="00515995"/>
    <w:rsid w:val="00515ED9"/>
    <w:rsid w:val="00515F56"/>
    <w:rsid w:val="005160A0"/>
    <w:rsid w:val="005163EA"/>
    <w:rsid w:val="0051647D"/>
    <w:rsid w:val="005168D0"/>
    <w:rsid w:val="00516CD7"/>
    <w:rsid w:val="00516D8B"/>
    <w:rsid w:val="00516ED5"/>
    <w:rsid w:val="00516FD9"/>
    <w:rsid w:val="00517548"/>
    <w:rsid w:val="00517973"/>
    <w:rsid w:val="00517AED"/>
    <w:rsid w:val="005206FA"/>
    <w:rsid w:val="00520899"/>
    <w:rsid w:val="00521084"/>
    <w:rsid w:val="005216B0"/>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36B"/>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1CC"/>
    <w:rsid w:val="005368DE"/>
    <w:rsid w:val="005372F1"/>
    <w:rsid w:val="005372FE"/>
    <w:rsid w:val="00537407"/>
    <w:rsid w:val="00537A94"/>
    <w:rsid w:val="00537CBB"/>
    <w:rsid w:val="00540BBE"/>
    <w:rsid w:val="00540C35"/>
    <w:rsid w:val="00541376"/>
    <w:rsid w:val="00541403"/>
    <w:rsid w:val="00541BAC"/>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846"/>
    <w:rsid w:val="005479AA"/>
    <w:rsid w:val="00550072"/>
    <w:rsid w:val="00550184"/>
    <w:rsid w:val="00550457"/>
    <w:rsid w:val="0055070C"/>
    <w:rsid w:val="00550AEE"/>
    <w:rsid w:val="00550B00"/>
    <w:rsid w:val="00550BEB"/>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E08"/>
    <w:rsid w:val="00554E74"/>
    <w:rsid w:val="005552D9"/>
    <w:rsid w:val="005554FF"/>
    <w:rsid w:val="00555C78"/>
    <w:rsid w:val="00556422"/>
    <w:rsid w:val="005564E0"/>
    <w:rsid w:val="0055690B"/>
    <w:rsid w:val="00556A6B"/>
    <w:rsid w:val="00556DB2"/>
    <w:rsid w:val="00556F40"/>
    <w:rsid w:val="00556FDD"/>
    <w:rsid w:val="005575F9"/>
    <w:rsid w:val="0055767B"/>
    <w:rsid w:val="00557C38"/>
    <w:rsid w:val="005603B3"/>
    <w:rsid w:val="0056083E"/>
    <w:rsid w:val="00560901"/>
    <w:rsid w:val="00560B38"/>
    <w:rsid w:val="00560B6D"/>
    <w:rsid w:val="00560CC6"/>
    <w:rsid w:val="00561270"/>
    <w:rsid w:val="005612EE"/>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33"/>
    <w:rsid w:val="00565EDF"/>
    <w:rsid w:val="005660A6"/>
    <w:rsid w:val="00566183"/>
    <w:rsid w:val="0056631C"/>
    <w:rsid w:val="00566F1E"/>
    <w:rsid w:val="00566F27"/>
    <w:rsid w:val="00567343"/>
    <w:rsid w:val="00567AC2"/>
    <w:rsid w:val="00567D7A"/>
    <w:rsid w:val="00570454"/>
    <w:rsid w:val="00570594"/>
    <w:rsid w:val="00570682"/>
    <w:rsid w:val="005708FD"/>
    <w:rsid w:val="00570E41"/>
    <w:rsid w:val="00571008"/>
    <w:rsid w:val="0057140A"/>
    <w:rsid w:val="005714A9"/>
    <w:rsid w:val="0057156F"/>
    <w:rsid w:val="0057192C"/>
    <w:rsid w:val="00572105"/>
    <w:rsid w:val="005721A8"/>
    <w:rsid w:val="005727F0"/>
    <w:rsid w:val="005728BE"/>
    <w:rsid w:val="00572988"/>
    <w:rsid w:val="00572DB8"/>
    <w:rsid w:val="00573181"/>
    <w:rsid w:val="005735AC"/>
    <w:rsid w:val="00573698"/>
    <w:rsid w:val="00573805"/>
    <w:rsid w:val="00573AE1"/>
    <w:rsid w:val="00574433"/>
    <w:rsid w:val="005746CF"/>
    <w:rsid w:val="00574BFF"/>
    <w:rsid w:val="00575A59"/>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945"/>
    <w:rsid w:val="00584A7F"/>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3055"/>
    <w:rsid w:val="00593C8C"/>
    <w:rsid w:val="00593CEF"/>
    <w:rsid w:val="0059429E"/>
    <w:rsid w:val="00594823"/>
    <w:rsid w:val="005958FE"/>
    <w:rsid w:val="00595FEF"/>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65F"/>
    <w:rsid w:val="005A4906"/>
    <w:rsid w:val="005A4AE1"/>
    <w:rsid w:val="005A4DDE"/>
    <w:rsid w:val="005A4E47"/>
    <w:rsid w:val="005A55ED"/>
    <w:rsid w:val="005A58A3"/>
    <w:rsid w:val="005A5CF0"/>
    <w:rsid w:val="005A60B5"/>
    <w:rsid w:val="005A63D8"/>
    <w:rsid w:val="005A662D"/>
    <w:rsid w:val="005A684E"/>
    <w:rsid w:val="005A6B85"/>
    <w:rsid w:val="005A6D9A"/>
    <w:rsid w:val="005A7369"/>
    <w:rsid w:val="005A759D"/>
    <w:rsid w:val="005A75BF"/>
    <w:rsid w:val="005A75E1"/>
    <w:rsid w:val="005A792D"/>
    <w:rsid w:val="005A7B2A"/>
    <w:rsid w:val="005A7BA5"/>
    <w:rsid w:val="005B0319"/>
    <w:rsid w:val="005B0472"/>
    <w:rsid w:val="005B10D4"/>
    <w:rsid w:val="005B165C"/>
    <w:rsid w:val="005B178E"/>
    <w:rsid w:val="005B1957"/>
    <w:rsid w:val="005B196F"/>
    <w:rsid w:val="005B1B24"/>
    <w:rsid w:val="005B1C3A"/>
    <w:rsid w:val="005B2177"/>
    <w:rsid w:val="005B22E6"/>
    <w:rsid w:val="005B2614"/>
    <w:rsid w:val="005B29D5"/>
    <w:rsid w:val="005B2BA2"/>
    <w:rsid w:val="005B3184"/>
    <w:rsid w:val="005B31EE"/>
    <w:rsid w:val="005B33C2"/>
    <w:rsid w:val="005B37D5"/>
    <w:rsid w:val="005B3843"/>
    <w:rsid w:val="005B3A06"/>
    <w:rsid w:val="005B485A"/>
    <w:rsid w:val="005B4B61"/>
    <w:rsid w:val="005B4EFE"/>
    <w:rsid w:val="005B4F13"/>
    <w:rsid w:val="005B5659"/>
    <w:rsid w:val="005B5BAF"/>
    <w:rsid w:val="005B5D9B"/>
    <w:rsid w:val="005B5DBE"/>
    <w:rsid w:val="005B60DE"/>
    <w:rsid w:val="005B6590"/>
    <w:rsid w:val="005B67AC"/>
    <w:rsid w:val="005B680D"/>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A95"/>
    <w:rsid w:val="005C6E40"/>
    <w:rsid w:val="005C748C"/>
    <w:rsid w:val="005C77C6"/>
    <w:rsid w:val="005D0100"/>
    <w:rsid w:val="005D05E3"/>
    <w:rsid w:val="005D0890"/>
    <w:rsid w:val="005D0BD9"/>
    <w:rsid w:val="005D100E"/>
    <w:rsid w:val="005D1011"/>
    <w:rsid w:val="005D1050"/>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77D"/>
    <w:rsid w:val="005E3879"/>
    <w:rsid w:val="005E38AE"/>
    <w:rsid w:val="005E38B2"/>
    <w:rsid w:val="005E40EE"/>
    <w:rsid w:val="005E4A4F"/>
    <w:rsid w:val="005E4C5C"/>
    <w:rsid w:val="005E5A6D"/>
    <w:rsid w:val="005E5AED"/>
    <w:rsid w:val="005E5CA6"/>
    <w:rsid w:val="005E60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97E"/>
    <w:rsid w:val="005F7FCE"/>
    <w:rsid w:val="006000F1"/>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5C5"/>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3D"/>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3C6"/>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853"/>
    <w:rsid w:val="0062693E"/>
    <w:rsid w:val="00626E7F"/>
    <w:rsid w:val="00627136"/>
    <w:rsid w:val="00627240"/>
    <w:rsid w:val="00627394"/>
    <w:rsid w:val="00627E79"/>
    <w:rsid w:val="00630123"/>
    <w:rsid w:val="0063015D"/>
    <w:rsid w:val="006303B0"/>
    <w:rsid w:val="0063077E"/>
    <w:rsid w:val="00630810"/>
    <w:rsid w:val="006309BC"/>
    <w:rsid w:val="00630C2E"/>
    <w:rsid w:val="00630E83"/>
    <w:rsid w:val="0063111E"/>
    <w:rsid w:val="006314FD"/>
    <w:rsid w:val="0063176B"/>
    <w:rsid w:val="00631C79"/>
    <w:rsid w:val="00631D46"/>
    <w:rsid w:val="00631F4C"/>
    <w:rsid w:val="006320D7"/>
    <w:rsid w:val="0063286A"/>
    <w:rsid w:val="006328DB"/>
    <w:rsid w:val="00632A72"/>
    <w:rsid w:val="00633366"/>
    <w:rsid w:val="0063349C"/>
    <w:rsid w:val="0063407E"/>
    <w:rsid w:val="006345C3"/>
    <w:rsid w:val="00634AA9"/>
    <w:rsid w:val="00634F9F"/>
    <w:rsid w:val="00634FCF"/>
    <w:rsid w:val="0063533E"/>
    <w:rsid w:val="006354CA"/>
    <w:rsid w:val="00635509"/>
    <w:rsid w:val="006355A5"/>
    <w:rsid w:val="0063560E"/>
    <w:rsid w:val="006359B4"/>
    <w:rsid w:val="006359B9"/>
    <w:rsid w:val="00636652"/>
    <w:rsid w:val="006366DE"/>
    <w:rsid w:val="00636A83"/>
    <w:rsid w:val="00636D20"/>
    <w:rsid w:val="00636D5B"/>
    <w:rsid w:val="00637183"/>
    <w:rsid w:val="0063728F"/>
    <w:rsid w:val="00640576"/>
    <w:rsid w:val="00640785"/>
    <w:rsid w:val="00640F4F"/>
    <w:rsid w:val="006412C2"/>
    <w:rsid w:val="00641620"/>
    <w:rsid w:val="006419FD"/>
    <w:rsid w:val="00641B69"/>
    <w:rsid w:val="00641B8E"/>
    <w:rsid w:val="00641D83"/>
    <w:rsid w:val="00641EDD"/>
    <w:rsid w:val="00641F6E"/>
    <w:rsid w:val="006420BA"/>
    <w:rsid w:val="0064239B"/>
    <w:rsid w:val="0064247A"/>
    <w:rsid w:val="00642E9E"/>
    <w:rsid w:val="00642FFB"/>
    <w:rsid w:val="006435DC"/>
    <w:rsid w:val="0064380B"/>
    <w:rsid w:val="00643A5A"/>
    <w:rsid w:val="00643C2F"/>
    <w:rsid w:val="00644278"/>
    <w:rsid w:val="00644625"/>
    <w:rsid w:val="0064492F"/>
    <w:rsid w:val="00644C01"/>
    <w:rsid w:val="00645096"/>
    <w:rsid w:val="00645AAA"/>
    <w:rsid w:val="00645BCA"/>
    <w:rsid w:val="00645F30"/>
    <w:rsid w:val="00645F9B"/>
    <w:rsid w:val="00645FB8"/>
    <w:rsid w:val="00645FE9"/>
    <w:rsid w:val="00646442"/>
    <w:rsid w:val="006469EE"/>
    <w:rsid w:val="00646C13"/>
    <w:rsid w:val="00646C41"/>
    <w:rsid w:val="00647276"/>
    <w:rsid w:val="00647968"/>
    <w:rsid w:val="00647A15"/>
    <w:rsid w:val="0065002A"/>
    <w:rsid w:val="00650244"/>
    <w:rsid w:val="00650A74"/>
    <w:rsid w:val="00650B1E"/>
    <w:rsid w:val="00650BF9"/>
    <w:rsid w:val="00650C35"/>
    <w:rsid w:val="00650D40"/>
    <w:rsid w:val="006518C3"/>
    <w:rsid w:val="0065205B"/>
    <w:rsid w:val="006522C5"/>
    <w:rsid w:val="0065230C"/>
    <w:rsid w:val="00652518"/>
    <w:rsid w:val="006528F8"/>
    <w:rsid w:val="006534F9"/>
    <w:rsid w:val="006536C7"/>
    <w:rsid w:val="00653BD3"/>
    <w:rsid w:val="00653C1B"/>
    <w:rsid w:val="00654408"/>
    <w:rsid w:val="0065443A"/>
    <w:rsid w:val="00654506"/>
    <w:rsid w:val="00654ABF"/>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AA2"/>
    <w:rsid w:val="00660B4F"/>
    <w:rsid w:val="0066174C"/>
    <w:rsid w:val="006625C1"/>
    <w:rsid w:val="006627E7"/>
    <w:rsid w:val="00662C69"/>
    <w:rsid w:val="00662D5D"/>
    <w:rsid w:val="00663253"/>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7010"/>
    <w:rsid w:val="006675BA"/>
    <w:rsid w:val="006679FE"/>
    <w:rsid w:val="00667B0E"/>
    <w:rsid w:val="0067013D"/>
    <w:rsid w:val="0067024D"/>
    <w:rsid w:val="006705A6"/>
    <w:rsid w:val="00670694"/>
    <w:rsid w:val="006717A3"/>
    <w:rsid w:val="006719FE"/>
    <w:rsid w:val="00671C7D"/>
    <w:rsid w:val="00671E28"/>
    <w:rsid w:val="00671EB9"/>
    <w:rsid w:val="00672309"/>
    <w:rsid w:val="00672D4C"/>
    <w:rsid w:val="00672D7E"/>
    <w:rsid w:val="006732BF"/>
    <w:rsid w:val="00673312"/>
    <w:rsid w:val="00673361"/>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01A"/>
    <w:rsid w:val="00676310"/>
    <w:rsid w:val="006764F7"/>
    <w:rsid w:val="00676527"/>
    <w:rsid w:val="00676BDC"/>
    <w:rsid w:val="00676E96"/>
    <w:rsid w:val="0067734F"/>
    <w:rsid w:val="00677925"/>
    <w:rsid w:val="0068006B"/>
    <w:rsid w:val="00680518"/>
    <w:rsid w:val="00680725"/>
    <w:rsid w:val="00680DE0"/>
    <w:rsid w:val="00681585"/>
    <w:rsid w:val="00681C67"/>
    <w:rsid w:val="00681DFF"/>
    <w:rsid w:val="006826FC"/>
    <w:rsid w:val="0068272C"/>
    <w:rsid w:val="00682871"/>
    <w:rsid w:val="006828EC"/>
    <w:rsid w:val="00682E5C"/>
    <w:rsid w:val="00682E8A"/>
    <w:rsid w:val="00683015"/>
    <w:rsid w:val="0068350B"/>
    <w:rsid w:val="00683724"/>
    <w:rsid w:val="00683C73"/>
    <w:rsid w:val="00684060"/>
    <w:rsid w:val="006840BB"/>
    <w:rsid w:val="006844CD"/>
    <w:rsid w:val="00684D22"/>
    <w:rsid w:val="00684D8E"/>
    <w:rsid w:val="006853C5"/>
    <w:rsid w:val="00685557"/>
    <w:rsid w:val="00686365"/>
    <w:rsid w:val="0068651A"/>
    <w:rsid w:val="00686A14"/>
    <w:rsid w:val="00686D11"/>
    <w:rsid w:val="00687081"/>
    <w:rsid w:val="00687268"/>
    <w:rsid w:val="00687331"/>
    <w:rsid w:val="0068771B"/>
    <w:rsid w:val="00687938"/>
    <w:rsid w:val="00687B9F"/>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860"/>
    <w:rsid w:val="006968F7"/>
    <w:rsid w:val="00696A90"/>
    <w:rsid w:val="00697717"/>
    <w:rsid w:val="006A0044"/>
    <w:rsid w:val="006A054A"/>
    <w:rsid w:val="006A0665"/>
    <w:rsid w:val="006A0A49"/>
    <w:rsid w:val="006A0AA7"/>
    <w:rsid w:val="006A0BA2"/>
    <w:rsid w:val="006A0C90"/>
    <w:rsid w:val="006A0DB6"/>
    <w:rsid w:val="006A10B9"/>
    <w:rsid w:val="006A11FB"/>
    <w:rsid w:val="006A1356"/>
    <w:rsid w:val="006A1817"/>
    <w:rsid w:val="006A1828"/>
    <w:rsid w:val="006A1AB3"/>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AE1"/>
    <w:rsid w:val="006A5FF7"/>
    <w:rsid w:val="006A6477"/>
    <w:rsid w:val="006A6C06"/>
    <w:rsid w:val="006A6DE9"/>
    <w:rsid w:val="006A6E95"/>
    <w:rsid w:val="006A7671"/>
    <w:rsid w:val="006A7816"/>
    <w:rsid w:val="006A7854"/>
    <w:rsid w:val="006A798C"/>
    <w:rsid w:val="006A7A4E"/>
    <w:rsid w:val="006A7FDB"/>
    <w:rsid w:val="006B04B6"/>
    <w:rsid w:val="006B0634"/>
    <w:rsid w:val="006B0DFE"/>
    <w:rsid w:val="006B1197"/>
    <w:rsid w:val="006B23E0"/>
    <w:rsid w:val="006B2A65"/>
    <w:rsid w:val="006B2B5A"/>
    <w:rsid w:val="006B2BEE"/>
    <w:rsid w:val="006B2EA7"/>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23"/>
    <w:rsid w:val="006B774E"/>
    <w:rsid w:val="006B7996"/>
    <w:rsid w:val="006C0291"/>
    <w:rsid w:val="006C036E"/>
    <w:rsid w:val="006C0440"/>
    <w:rsid w:val="006C0EDF"/>
    <w:rsid w:val="006C1208"/>
    <w:rsid w:val="006C16ED"/>
    <w:rsid w:val="006C1AB1"/>
    <w:rsid w:val="006C1DC9"/>
    <w:rsid w:val="006C2020"/>
    <w:rsid w:val="006C28B5"/>
    <w:rsid w:val="006C2942"/>
    <w:rsid w:val="006C2DE3"/>
    <w:rsid w:val="006C2EFD"/>
    <w:rsid w:val="006C315F"/>
    <w:rsid w:val="006C336F"/>
    <w:rsid w:val="006C3587"/>
    <w:rsid w:val="006C37A2"/>
    <w:rsid w:val="006C37DA"/>
    <w:rsid w:val="006C3825"/>
    <w:rsid w:val="006C3EFD"/>
    <w:rsid w:val="006C4905"/>
    <w:rsid w:val="006C4A5D"/>
    <w:rsid w:val="006C4FAD"/>
    <w:rsid w:val="006C54DE"/>
    <w:rsid w:val="006C5522"/>
    <w:rsid w:val="006C5791"/>
    <w:rsid w:val="006C5B9D"/>
    <w:rsid w:val="006C5EF6"/>
    <w:rsid w:val="006C650C"/>
    <w:rsid w:val="006C6577"/>
    <w:rsid w:val="006C6644"/>
    <w:rsid w:val="006C6834"/>
    <w:rsid w:val="006C69E2"/>
    <w:rsid w:val="006C6BD9"/>
    <w:rsid w:val="006C6CDC"/>
    <w:rsid w:val="006C6DF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285"/>
    <w:rsid w:val="006D6A81"/>
    <w:rsid w:val="006D7389"/>
    <w:rsid w:val="006D7657"/>
    <w:rsid w:val="006D7836"/>
    <w:rsid w:val="006D7AC5"/>
    <w:rsid w:val="006D7CD4"/>
    <w:rsid w:val="006D7D12"/>
    <w:rsid w:val="006E02A6"/>
    <w:rsid w:val="006E0486"/>
    <w:rsid w:val="006E05B8"/>
    <w:rsid w:val="006E0777"/>
    <w:rsid w:val="006E0FDA"/>
    <w:rsid w:val="006E13D1"/>
    <w:rsid w:val="006E1952"/>
    <w:rsid w:val="006E2013"/>
    <w:rsid w:val="006E256B"/>
    <w:rsid w:val="006E2644"/>
    <w:rsid w:val="006E2809"/>
    <w:rsid w:val="006E2DB5"/>
    <w:rsid w:val="006E3A94"/>
    <w:rsid w:val="006E434A"/>
    <w:rsid w:val="006E43EF"/>
    <w:rsid w:val="006E4816"/>
    <w:rsid w:val="006E4A4C"/>
    <w:rsid w:val="006E4BED"/>
    <w:rsid w:val="006E4BFE"/>
    <w:rsid w:val="006E509D"/>
    <w:rsid w:val="006E5619"/>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00"/>
    <w:rsid w:val="006F2234"/>
    <w:rsid w:val="006F2295"/>
    <w:rsid w:val="006F27B3"/>
    <w:rsid w:val="006F299B"/>
    <w:rsid w:val="006F3461"/>
    <w:rsid w:val="006F382C"/>
    <w:rsid w:val="006F39D3"/>
    <w:rsid w:val="006F3E58"/>
    <w:rsid w:val="006F3F4E"/>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17B3"/>
    <w:rsid w:val="007019E0"/>
    <w:rsid w:val="00701A28"/>
    <w:rsid w:val="00701B15"/>
    <w:rsid w:val="00701BD2"/>
    <w:rsid w:val="00701CED"/>
    <w:rsid w:val="00701E1E"/>
    <w:rsid w:val="00701FBB"/>
    <w:rsid w:val="00701FCD"/>
    <w:rsid w:val="00701FFC"/>
    <w:rsid w:val="007020CE"/>
    <w:rsid w:val="00702771"/>
    <w:rsid w:val="007032C9"/>
    <w:rsid w:val="00703723"/>
    <w:rsid w:val="00703802"/>
    <w:rsid w:val="0070382E"/>
    <w:rsid w:val="00703976"/>
    <w:rsid w:val="00703FAB"/>
    <w:rsid w:val="00704027"/>
    <w:rsid w:val="007041D3"/>
    <w:rsid w:val="00704B8A"/>
    <w:rsid w:val="00704BC7"/>
    <w:rsid w:val="00704C9D"/>
    <w:rsid w:val="007050F7"/>
    <w:rsid w:val="007051AD"/>
    <w:rsid w:val="00705377"/>
    <w:rsid w:val="00705D75"/>
    <w:rsid w:val="00705FA9"/>
    <w:rsid w:val="0070610B"/>
    <w:rsid w:val="00706C89"/>
    <w:rsid w:val="00707154"/>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0DE"/>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6CAE"/>
    <w:rsid w:val="00727275"/>
    <w:rsid w:val="00727523"/>
    <w:rsid w:val="00727898"/>
    <w:rsid w:val="00727DF5"/>
    <w:rsid w:val="00727FD1"/>
    <w:rsid w:val="007306A0"/>
    <w:rsid w:val="0073125D"/>
    <w:rsid w:val="007317E0"/>
    <w:rsid w:val="00731F3E"/>
    <w:rsid w:val="00732032"/>
    <w:rsid w:val="00732810"/>
    <w:rsid w:val="00732E3E"/>
    <w:rsid w:val="00733392"/>
    <w:rsid w:val="0073379B"/>
    <w:rsid w:val="007340AC"/>
    <w:rsid w:val="0073413F"/>
    <w:rsid w:val="007345AC"/>
    <w:rsid w:val="0073526E"/>
    <w:rsid w:val="00735A2C"/>
    <w:rsid w:val="00736301"/>
    <w:rsid w:val="007363C3"/>
    <w:rsid w:val="007365E3"/>
    <w:rsid w:val="00736C9F"/>
    <w:rsid w:val="00737307"/>
    <w:rsid w:val="00737667"/>
    <w:rsid w:val="00737BE1"/>
    <w:rsid w:val="00737DAA"/>
    <w:rsid w:val="00737DB0"/>
    <w:rsid w:val="00737EE8"/>
    <w:rsid w:val="00740085"/>
    <w:rsid w:val="0074044C"/>
    <w:rsid w:val="007407E7"/>
    <w:rsid w:val="00740AB5"/>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D70"/>
    <w:rsid w:val="00753112"/>
    <w:rsid w:val="00753195"/>
    <w:rsid w:val="007534F4"/>
    <w:rsid w:val="00753A34"/>
    <w:rsid w:val="00753C8F"/>
    <w:rsid w:val="007543B0"/>
    <w:rsid w:val="00754E3F"/>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BD4"/>
    <w:rsid w:val="00756CFC"/>
    <w:rsid w:val="00757001"/>
    <w:rsid w:val="0075721B"/>
    <w:rsid w:val="007574DC"/>
    <w:rsid w:val="00757E62"/>
    <w:rsid w:val="007600E5"/>
    <w:rsid w:val="007605C4"/>
    <w:rsid w:val="0076074D"/>
    <w:rsid w:val="0076075F"/>
    <w:rsid w:val="00760CFA"/>
    <w:rsid w:val="00760EFD"/>
    <w:rsid w:val="0076110B"/>
    <w:rsid w:val="007623B3"/>
    <w:rsid w:val="007625E9"/>
    <w:rsid w:val="00762BB9"/>
    <w:rsid w:val="00762EE5"/>
    <w:rsid w:val="00763118"/>
    <w:rsid w:val="00763150"/>
    <w:rsid w:val="007638FC"/>
    <w:rsid w:val="00763E73"/>
    <w:rsid w:val="00764879"/>
    <w:rsid w:val="00764A29"/>
    <w:rsid w:val="00764DD1"/>
    <w:rsid w:val="007651BB"/>
    <w:rsid w:val="00765792"/>
    <w:rsid w:val="007657E2"/>
    <w:rsid w:val="00765BE5"/>
    <w:rsid w:val="00766085"/>
    <w:rsid w:val="007662EF"/>
    <w:rsid w:val="007663A0"/>
    <w:rsid w:val="007666E8"/>
    <w:rsid w:val="0076676F"/>
    <w:rsid w:val="00766901"/>
    <w:rsid w:val="00766A73"/>
    <w:rsid w:val="00767382"/>
    <w:rsid w:val="00767B40"/>
    <w:rsid w:val="00770162"/>
    <w:rsid w:val="0077075C"/>
    <w:rsid w:val="00770880"/>
    <w:rsid w:val="00770C6C"/>
    <w:rsid w:val="00771388"/>
    <w:rsid w:val="00771F4C"/>
    <w:rsid w:val="0077214D"/>
    <w:rsid w:val="00772159"/>
    <w:rsid w:val="00772572"/>
    <w:rsid w:val="00772CEC"/>
    <w:rsid w:val="00772D32"/>
    <w:rsid w:val="00773769"/>
    <w:rsid w:val="007738EF"/>
    <w:rsid w:val="00773B05"/>
    <w:rsid w:val="00773E0B"/>
    <w:rsid w:val="00773F2C"/>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2DF"/>
    <w:rsid w:val="0077679B"/>
    <w:rsid w:val="007768E0"/>
    <w:rsid w:val="00776A22"/>
    <w:rsid w:val="00776C35"/>
    <w:rsid w:val="00776E4D"/>
    <w:rsid w:val="007770D2"/>
    <w:rsid w:val="00777654"/>
    <w:rsid w:val="00777B4C"/>
    <w:rsid w:val="00777F9C"/>
    <w:rsid w:val="007807B7"/>
    <w:rsid w:val="007808BA"/>
    <w:rsid w:val="00781310"/>
    <w:rsid w:val="0078134E"/>
    <w:rsid w:val="0078161E"/>
    <w:rsid w:val="007821E8"/>
    <w:rsid w:val="0078241D"/>
    <w:rsid w:val="007826E7"/>
    <w:rsid w:val="007827EE"/>
    <w:rsid w:val="00782AEA"/>
    <w:rsid w:val="00782FF7"/>
    <w:rsid w:val="007831A9"/>
    <w:rsid w:val="00783A1E"/>
    <w:rsid w:val="00783D5D"/>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8A1"/>
    <w:rsid w:val="00787DFA"/>
    <w:rsid w:val="00787E27"/>
    <w:rsid w:val="00790284"/>
    <w:rsid w:val="00790364"/>
    <w:rsid w:val="0079036A"/>
    <w:rsid w:val="00790378"/>
    <w:rsid w:val="007903D7"/>
    <w:rsid w:val="007905D5"/>
    <w:rsid w:val="00790894"/>
    <w:rsid w:val="00791995"/>
    <w:rsid w:val="00791C9B"/>
    <w:rsid w:val="007920E8"/>
    <w:rsid w:val="00792932"/>
    <w:rsid w:val="00792BF7"/>
    <w:rsid w:val="007931B4"/>
    <w:rsid w:val="007932EC"/>
    <w:rsid w:val="007936C8"/>
    <w:rsid w:val="00793793"/>
    <w:rsid w:val="00793B5B"/>
    <w:rsid w:val="007940F6"/>
    <w:rsid w:val="00794436"/>
    <w:rsid w:val="00794895"/>
    <w:rsid w:val="00794938"/>
    <w:rsid w:val="00795BA6"/>
    <w:rsid w:val="00795F06"/>
    <w:rsid w:val="00795F61"/>
    <w:rsid w:val="00796FB4"/>
    <w:rsid w:val="00797B5D"/>
    <w:rsid w:val="00797F10"/>
    <w:rsid w:val="00797FC7"/>
    <w:rsid w:val="007A037B"/>
    <w:rsid w:val="007A049F"/>
    <w:rsid w:val="007A0865"/>
    <w:rsid w:val="007A095B"/>
    <w:rsid w:val="007A0A67"/>
    <w:rsid w:val="007A109C"/>
    <w:rsid w:val="007A1AE5"/>
    <w:rsid w:val="007A22A2"/>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FF4"/>
    <w:rsid w:val="007B0381"/>
    <w:rsid w:val="007B0496"/>
    <w:rsid w:val="007B0776"/>
    <w:rsid w:val="007B0921"/>
    <w:rsid w:val="007B0A30"/>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B69"/>
    <w:rsid w:val="007B5C53"/>
    <w:rsid w:val="007B5EBB"/>
    <w:rsid w:val="007B5EE1"/>
    <w:rsid w:val="007B5FF0"/>
    <w:rsid w:val="007B626E"/>
    <w:rsid w:val="007B6300"/>
    <w:rsid w:val="007B6473"/>
    <w:rsid w:val="007B6673"/>
    <w:rsid w:val="007B66B4"/>
    <w:rsid w:val="007B67CC"/>
    <w:rsid w:val="007B68D6"/>
    <w:rsid w:val="007B68FB"/>
    <w:rsid w:val="007B6BB1"/>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550"/>
    <w:rsid w:val="007C37F1"/>
    <w:rsid w:val="007C3B5E"/>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570"/>
    <w:rsid w:val="007D0C44"/>
    <w:rsid w:val="007D0D6C"/>
    <w:rsid w:val="007D1E4D"/>
    <w:rsid w:val="007D20AB"/>
    <w:rsid w:val="007D214D"/>
    <w:rsid w:val="007D255F"/>
    <w:rsid w:val="007D29EA"/>
    <w:rsid w:val="007D2AA0"/>
    <w:rsid w:val="007D2C50"/>
    <w:rsid w:val="007D2C87"/>
    <w:rsid w:val="007D3755"/>
    <w:rsid w:val="007D3823"/>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E09EE"/>
    <w:rsid w:val="007E10BA"/>
    <w:rsid w:val="007E1201"/>
    <w:rsid w:val="007E149C"/>
    <w:rsid w:val="007E1653"/>
    <w:rsid w:val="007E2344"/>
    <w:rsid w:val="007E24B7"/>
    <w:rsid w:val="007E2681"/>
    <w:rsid w:val="007E30DA"/>
    <w:rsid w:val="007E33B2"/>
    <w:rsid w:val="007E441B"/>
    <w:rsid w:val="007E4438"/>
    <w:rsid w:val="007E4777"/>
    <w:rsid w:val="007E4D18"/>
    <w:rsid w:val="007E4F09"/>
    <w:rsid w:val="007E53DC"/>
    <w:rsid w:val="007E5401"/>
    <w:rsid w:val="007E5CFD"/>
    <w:rsid w:val="007E5D84"/>
    <w:rsid w:val="007E6002"/>
    <w:rsid w:val="007E67B4"/>
    <w:rsid w:val="007E6991"/>
    <w:rsid w:val="007E6C6F"/>
    <w:rsid w:val="007E6DD5"/>
    <w:rsid w:val="007E7331"/>
    <w:rsid w:val="007E7692"/>
    <w:rsid w:val="007E7E51"/>
    <w:rsid w:val="007F0715"/>
    <w:rsid w:val="007F08BC"/>
    <w:rsid w:val="007F0B07"/>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018"/>
    <w:rsid w:val="0080411E"/>
    <w:rsid w:val="0080412A"/>
    <w:rsid w:val="00804387"/>
    <w:rsid w:val="00804654"/>
    <w:rsid w:val="00804FC5"/>
    <w:rsid w:val="0080503D"/>
    <w:rsid w:val="00805231"/>
    <w:rsid w:val="00805E21"/>
    <w:rsid w:val="008066CA"/>
    <w:rsid w:val="008067D5"/>
    <w:rsid w:val="008069A1"/>
    <w:rsid w:val="008069C9"/>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59"/>
    <w:rsid w:val="008115CC"/>
    <w:rsid w:val="0081165C"/>
    <w:rsid w:val="00811884"/>
    <w:rsid w:val="00811EAF"/>
    <w:rsid w:val="00811EEE"/>
    <w:rsid w:val="00811F0B"/>
    <w:rsid w:val="00811F69"/>
    <w:rsid w:val="00812205"/>
    <w:rsid w:val="008127FF"/>
    <w:rsid w:val="008128DF"/>
    <w:rsid w:val="00812D4E"/>
    <w:rsid w:val="00812FDC"/>
    <w:rsid w:val="00813080"/>
    <w:rsid w:val="0081390C"/>
    <w:rsid w:val="00814324"/>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A5"/>
    <w:rsid w:val="008203BE"/>
    <w:rsid w:val="008204CD"/>
    <w:rsid w:val="0082051C"/>
    <w:rsid w:val="008207F1"/>
    <w:rsid w:val="008213D7"/>
    <w:rsid w:val="00821449"/>
    <w:rsid w:val="00821698"/>
    <w:rsid w:val="00821800"/>
    <w:rsid w:val="008218C3"/>
    <w:rsid w:val="00821A4D"/>
    <w:rsid w:val="00822056"/>
    <w:rsid w:val="00822151"/>
    <w:rsid w:val="008223C7"/>
    <w:rsid w:val="00822FCB"/>
    <w:rsid w:val="00823109"/>
    <w:rsid w:val="00823639"/>
    <w:rsid w:val="008237BF"/>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5F74"/>
    <w:rsid w:val="0082631D"/>
    <w:rsid w:val="00826DD9"/>
    <w:rsid w:val="00826FB2"/>
    <w:rsid w:val="00827330"/>
    <w:rsid w:val="00827473"/>
    <w:rsid w:val="008278B6"/>
    <w:rsid w:val="00827971"/>
    <w:rsid w:val="00827F02"/>
    <w:rsid w:val="0083003B"/>
    <w:rsid w:val="0083063C"/>
    <w:rsid w:val="0083065B"/>
    <w:rsid w:val="00830792"/>
    <w:rsid w:val="008309A3"/>
    <w:rsid w:val="00830E3C"/>
    <w:rsid w:val="0083199F"/>
    <w:rsid w:val="00831F29"/>
    <w:rsid w:val="00831FE8"/>
    <w:rsid w:val="008321B0"/>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CEB"/>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57B"/>
    <w:rsid w:val="00844DB9"/>
    <w:rsid w:val="00844FC2"/>
    <w:rsid w:val="00845088"/>
    <w:rsid w:val="00845BD9"/>
    <w:rsid w:val="00845CB2"/>
    <w:rsid w:val="00845D30"/>
    <w:rsid w:val="00845E2B"/>
    <w:rsid w:val="00845F05"/>
    <w:rsid w:val="008461E9"/>
    <w:rsid w:val="008463A6"/>
    <w:rsid w:val="008463BD"/>
    <w:rsid w:val="00846EC1"/>
    <w:rsid w:val="00847204"/>
    <w:rsid w:val="0084731A"/>
    <w:rsid w:val="00847C25"/>
    <w:rsid w:val="00847D7C"/>
    <w:rsid w:val="00847EE6"/>
    <w:rsid w:val="008507D4"/>
    <w:rsid w:val="0085154D"/>
    <w:rsid w:val="00851AB3"/>
    <w:rsid w:val="00851AC9"/>
    <w:rsid w:val="00852009"/>
    <w:rsid w:val="00852137"/>
    <w:rsid w:val="0085264B"/>
    <w:rsid w:val="008528FA"/>
    <w:rsid w:val="00852C83"/>
    <w:rsid w:val="008530A8"/>
    <w:rsid w:val="008534AF"/>
    <w:rsid w:val="00853862"/>
    <w:rsid w:val="00853A3E"/>
    <w:rsid w:val="00853BD6"/>
    <w:rsid w:val="00853C6D"/>
    <w:rsid w:val="00853C75"/>
    <w:rsid w:val="008543D9"/>
    <w:rsid w:val="00854570"/>
    <w:rsid w:val="008548CC"/>
    <w:rsid w:val="00854989"/>
    <w:rsid w:val="00854D89"/>
    <w:rsid w:val="00855204"/>
    <w:rsid w:val="0085520C"/>
    <w:rsid w:val="008556E0"/>
    <w:rsid w:val="00855B02"/>
    <w:rsid w:val="00856096"/>
    <w:rsid w:val="00856353"/>
    <w:rsid w:val="0085682F"/>
    <w:rsid w:val="008569EC"/>
    <w:rsid w:val="00857607"/>
    <w:rsid w:val="008576B6"/>
    <w:rsid w:val="0085772C"/>
    <w:rsid w:val="00860787"/>
    <w:rsid w:val="00860986"/>
    <w:rsid w:val="00860B57"/>
    <w:rsid w:val="008613FA"/>
    <w:rsid w:val="008617F2"/>
    <w:rsid w:val="0086192A"/>
    <w:rsid w:val="00862CAA"/>
    <w:rsid w:val="00862CF7"/>
    <w:rsid w:val="00863105"/>
    <w:rsid w:val="008632DA"/>
    <w:rsid w:val="00863361"/>
    <w:rsid w:val="00863AD1"/>
    <w:rsid w:val="00863B4A"/>
    <w:rsid w:val="00863C49"/>
    <w:rsid w:val="00863C4E"/>
    <w:rsid w:val="00864277"/>
    <w:rsid w:val="00864B69"/>
    <w:rsid w:val="00864B95"/>
    <w:rsid w:val="00864F52"/>
    <w:rsid w:val="008653C2"/>
    <w:rsid w:val="00865BE6"/>
    <w:rsid w:val="00865D8A"/>
    <w:rsid w:val="00865F81"/>
    <w:rsid w:val="0086652B"/>
    <w:rsid w:val="0086656A"/>
    <w:rsid w:val="00866614"/>
    <w:rsid w:val="008667E0"/>
    <w:rsid w:val="00866EF8"/>
    <w:rsid w:val="00867028"/>
    <w:rsid w:val="0086727B"/>
    <w:rsid w:val="0086729B"/>
    <w:rsid w:val="00867427"/>
    <w:rsid w:val="0086762C"/>
    <w:rsid w:val="0086764F"/>
    <w:rsid w:val="00867785"/>
    <w:rsid w:val="00870045"/>
    <w:rsid w:val="00870085"/>
    <w:rsid w:val="0087012E"/>
    <w:rsid w:val="008703BE"/>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7"/>
    <w:rsid w:val="008743E9"/>
    <w:rsid w:val="008743F3"/>
    <w:rsid w:val="00874434"/>
    <w:rsid w:val="0087444A"/>
    <w:rsid w:val="008744DD"/>
    <w:rsid w:val="0087495A"/>
    <w:rsid w:val="008749AB"/>
    <w:rsid w:val="008749B2"/>
    <w:rsid w:val="00874A86"/>
    <w:rsid w:val="00874A8D"/>
    <w:rsid w:val="00874B55"/>
    <w:rsid w:val="00874C3D"/>
    <w:rsid w:val="00874EEE"/>
    <w:rsid w:val="00875069"/>
    <w:rsid w:val="00875139"/>
    <w:rsid w:val="00875215"/>
    <w:rsid w:val="00875410"/>
    <w:rsid w:val="00875CEF"/>
    <w:rsid w:val="00876563"/>
    <w:rsid w:val="00876A2D"/>
    <w:rsid w:val="00876EA7"/>
    <w:rsid w:val="0087712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4E3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3376"/>
    <w:rsid w:val="008936CD"/>
    <w:rsid w:val="00893B60"/>
    <w:rsid w:val="00893D89"/>
    <w:rsid w:val="0089424A"/>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5EDE"/>
    <w:rsid w:val="008A6920"/>
    <w:rsid w:val="008A6A27"/>
    <w:rsid w:val="008B042F"/>
    <w:rsid w:val="008B06A9"/>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155"/>
    <w:rsid w:val="008B5290"/>
    <w:rsid w:val="008B55FA"/>
    <w:rsid w:val="008B60A7"/>
    <w:rsid w:val="008B6491"/>
    <w:rsid w:val="008B6D94"/>
    <w:rsid w:val="008B6F02"/>
    <w:rsid w:val="008B6FEB"/>
    <w:rsid w:val="008B77B0"/>
    <w:rsid w:val="008C0408"/>
    <w:rsid w:val="008C09EB"/>
    <w:rsid w:val="008C146F"/>
    <w:rsid w:val="008C178D"/>
    <w:rsid w:val="008C1912"/>
    <w:rsid w:val="008C197A"/>
    <w:rsid w:val="008C2186"/>
    <w:rsid w:val="008C22E1"/>
    <w:rsid w:val="008C24DA"/>
    <w:rsid w:val="008C251D"/>
    <w:rsid w:val="008C26B1"/>
    <w:rsid w:val="008C40F0"/>
    <w:rsid w:val="008C40FC"/>
    <w:rsid w:val="008C410A"/>
    <w:rsid w:val="008C486A"/>
    <w:rsid w:val="008C5978"/>
    <w:rsid w:val="008C5A19"/>
    <w:rsid w:val="008C6516"/>
    <w:rsid w:val="008C715E"/>
    <w:rsid w:val="008C7185"/>
    <w:rsid w:val="008C73D1"/>
    <w:rsid w:val="008C772D"/>
    <w:rsid w:val="008C7EC8"/>
    <w:rsid w:val="008D024D"/>
    <w:rsid w:val="008D0562"/>
    <w:rsid w:val="008D0760"/>
    <w:rsid w:val="008D0DAD"/>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7C"/>
    <w:rsid w:val="008D74C6"/>
    <w:rsid w:val="008D761E"/>
    <w:rsid w:val="008D766F"/>
    <w:rsid w:val="008D7762"/>
    <w:rsid w:val="008D7899"/>
    <w:rsid w:val="008D7AA1"/>
    <w:rsid w:val="008D7C45"/>
    <w:rsid w:val="008D7CC0"/>
    <w:rsid w:val="008E01C1"/>
    <w:rsid w:val="008E041E"/>
    <w:rsid w:val="008E0A7D"/>
    <w:rsid w:val="008E0F52"/>
    <w:rsid w:val="008E12E5"/>
    <w:rsid w:val="008E135B"/>
    <w:rsid w:val="008E14BD"/>
    <w:rsid w:val="008E1A4E"/>
    <w:rsid w:val="008E20C3"/>
    <w:rsid w:val="008E20F9"/>
    <w:rsid w:val="008E22E8"/>
    <w:rsid w:val="008E2343"/>
    <w:rsid w:val="008E2951"/>
    <w:rsid w:val="008E29E4"/>
    <w:rsid w:val="008E2A18"/>
    <w:rsid w:val="008E2DB4"/>
    <w:rsid w:val="008E3065"/>
    <w:rsid w:val="008E323B"/>
    <w:rsid w:val="008E3587"/>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22C"/>
    <w:rsid w:val="008F1678"/>
    <w:rsid w:val="008F1747"/>
    <w:rsid w:val="008F1ADD"/>
    <w:rsid w:val="008F1E26"/>
    <w:rsid w:val="008F2B28"/>
    <w:rsid w:val="008F3C24"/>
    <w:rsid w:val="008F40EA"/>
    <w:rsid w:val="008F4419"/>
    <w:rsid w:val="008F4454"/>
    <w:rsid w:val="008F4A73"/>
    <w:rsid w:val="008F4B97"/>
    <w:rsid w:val="008F4BA5"/>
    <w:rsid w:val="008F529C"/>
    <w:rsid w:val="008F52A9"/>
    <w:rsid w:val="008F5385"/>
    <w:rsid w:val="008F548E"/>
    <w:rsid w:val="008F5893"/>
    <w:rsid w:val="008F601B"/>
    <w:rsid w:val="008F68E4"/>
    <w:rsid w:val="008F69D1"/>
    <w:rsid w:val="008F6A72"/>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DDA"/>
    <w:rsid w:val="00904E5D"/>
    <w:rsid w:val="00904EB3"/>
    <w:rsid w:val="00905112"/>
    <w:rsid w:val="00905801"/>
    <w:rsid w:val="00906243"/>
    <w:rsid w:val="009063E6"/>
    <w:rsid w:val="00906AF6"/>
    <w:rsid w:val="00906CAF"/>
    <w:rsid w:val="00906D16"/>
    <w:rsid w:val="00907259"/>
    <w:rsid w:val="009072D4"/>
    <w:rsid w:val="00907809"/>
    <w:rsid w:val="0091019E"/>
    <w:rsid w:val="00910AFF"/>
    <w:rsid w:val="00911609"/>
    <w:rsid w:val="009117D9"/>
    <w:rsid w:val="009117E4"/>
    <w:rsid w:val="0091257C"/>
    <w:rsid w:val="009126AA"/>
    <w:rsid w:val="0091284F"/>
    <w:rsid w:val="0091294E"/>
    <w:rsid w:val="00912D6F"/>
    <w:rsid w:val="0091300B"/>
    <w:rsid w:val="009132E6"/>
    <w:rsid w:val="00913834"/>
    <w:rsid w:val="009138FC"/>
    <w:rsid w:val="0091441D"/>
    <w:rsid w:val="00914594"/>
    <w:rsid w:val="00914C32"/>
    <w:rsid w:val="00914E66"/>
    <w:rsid w:val="00914EB4"/>
    <w:rsid w:val="0091519C"/>
    <w:rsid w:val="009152E9"/>
    <w:rsid w:val="00915AB7"/>
    <w:rsid w:val="00915B81"/>
    <w:rsid w:val="00915E48"/>
    <w:rsid w:val="00916157"/>
    <w:rsid w:val="009162A3"/>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3DE1"/>
    <w:rsid w:val="00924457"/>
    <w:rsid w:val="00924614"/>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501"/>
    <w:rsid w:val="009318C9"/>
    <w:rsid w:val="00931962"/>
    <w:rsid w:val="00931E9C"/>
    <w:rsid w:val="0093222A"/>
    <w:rsid w:val="0093287C"/>
    <w:rsid w:val="00932A5B"/>
    <w:rsid w:val="00933880"/>
    <w:rsid w:val="00933C0D"/>
    <w:rsid w:val="00933DE0"/>
    <w:rsid w:val="00933F8D"/>
    <w:rsid w:val="00934066"/>
    <w:rsid w:val="0093443A"/>
    <w:rsid w:val="00934CA0"/>
    <w:rsid w:val="00934D96"/>
    <w:rsid w:val="00934DC5"/>
    <w:rsid w:val="00934ED7"/>
    <w:rsid w:val="00934FBD"/>
    <w:rsid w:val="0093579C"/>
    <w:rsid w:val="0093588D"/>
    <w:rsid w:val="00935C87"/>
    <w:rsid w:val="00935D1C"/>
    <w:rsid w:val="00935D4F"/>
    <w:rsid w:val="00935DF9"/>
    <w:rsid w:val="00935EA5"/>
    <w:rsid w:val="00936C50"/>
    <w:rsid w:val="00936D3F"/>
    <w:rsid w:val="00937910"/>
    <w:rsid w:val="00937E40"/>
    <w:rsid w:val="0094007F"/>
    <w:rsid w:val="009400D6"/>
    <w:rsid w:val="0094019C"/>
    <w:rsid w:val="009404F6"/>
    <w:rsid w:val="00940E2D"/>
    <w:rsid w:val="009412A4"/>
    <w:rsid w:val="00941435"/>
    <w:rsid w:val="00941720"/>
    <w:rsid w:val="00941D0D"/>
    <w:rsid w:val="009421FD"/>
    <w:rsid w:val="0094232D"/>
    <w:rsid w:val="00942696"/>
    <w:rsid w:val="009426A7"/>
    <w:rsid w:val="00942A47"/>
    <w:rsid w:val="00942AB7"/>
    <w:rsid w:val="00942AD3"/>
    <w:rsid w:val="00943B5E"/>
    <w:rsid w:val="009443CB"/>
    <w:rsid w:val="00944B62"/>
    <w:rsid w:val="009450C2"/>
    <w:rsid w:val="00945637"/>
    <w:rsid w:val="0094592A"/>
    <w:rsid w:val="00945CE3"/>
    <w:rsid w:val="00945D49"/>
    <w:rsid w:val="00945FB1"/>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3B3"/>
    <w:rsid w:val="00952941"/>
    <w:rsid w:val="00952A36"/>
    <w:rsid w:val="00952DD3"/>
    <w:rsid w:val="009530AE"/>
    <w:rsid w:val="00954066"/>
    <w:rsid w:val="0095416C"/>
    <w:rsid w:val="009541FB"/>
    <w:rsid w:val="009544D2"/>
    <w:rsid w:val="00954753"/>
    <w:rsid w:val="009547CF"/>
    <w:rsid w:val="009547EE"/>
    <w:rsid w:val="00954B88"/>
    <w:rsid w:val="00954D20"/>
    <w:rsid w:val="00954D8C"/>
    <w:rsid w:val="009552A7"/>
    <w:rsid w:val="00955CE5"/>
    <w:rsid w:val="00955FD6"/>
    <w:rsid w:val="0095610C"/>
    <w:rsid w:val="00956363"/>
    <w:rsid w:val="00956450"/>
    <w:rsid w:val="009566CE"/>
    <w:rsid w:val="00956CB5"/>
    <w:rsid w:val="009573AC"/>
    <w:rsid w:val="00957883"/>
    <w:rsid w:val="00957D42"/>
    <w:rsid w:val="00960011"/>
    <w:rsid w:val="009602B0"/>
    <w:rsid w:val="00960329"/>
    <w:rsid w:val="00960439"/>
    <w:rsid w:val="00960502"/>
    <w:rsid w:val="00960672"/>
    <w:rsid w:val="009608BC"/>
    <w:rsid w:val="00961157"/>
    <w:rsid w:val="00961613"/>
    <w:rsid w:val="00961BC9"/>
    <w:rsid w:val="00961C55"/>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2F5"/>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BE"/>
    <w:rsid w:val="009738D1"/>
    <w:rsid w:val="009744BF"/>
    <w:rsid w:val="00974C0C"/>
    <w:rsid w:val="00974DC5"/>
    <w:rsid w:val="00975684"/>
    <w:rsid w:val="009758A1"/>
    <w:rsid w:val="00975A45"/>
    <w:rsid w:val="00975DB9"/>
    <w:rsid w:val="00976034"/>
    <w:rsid w:val="00976E48"/>
    <w:rsid w:val="0097758D"/>
    <w:rsid w:val="0097779D"/>
    <w:rsid w:val="009779AE"/>
    <w:rsid w:val="00977D00"/>
    <w:rsid w:val="00977E14"/>
    <w:rsid w:val="00980149"/>
    <w:rsid w:val="009802A7"/>
    <w:rsid w:val="00980694"/>
    <w:rsid w:val="0098077D"/>
    <w:rsid w:val="009808EF"/>
    <w:rsid w:val="0098096E"/>
    <w:rsid w:val="00980FF5"/>
    <w:rsid w:val="009810E6"/>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BBB"/>
    <w:rsid w:val="00987C1A"/>
    <w:rsid w:val="00990520"/>
    <w:rsid w:val="0099057E"/>
    <w:rsid w:val="00990593"/>
    <w:rsid w:val="00990906"/>
    <w:rsid w:val="00991031"/>
    <w:rsid w:val="009913F8"/>
    <w:rsid w:val="00991B40"/>
    <w:rsid w:val="00992197"/>
    <w:rsid w:val="009922D5"/>
    <w:rsid w:val="00992349"/>
    <w:rsid w:val="0099246D"/>
    <w:rsid w:val="00992A99"/>
    <w:rsid w:val="00992CE7"/>
    <w:rsid w:val="00992D26"/>
    <w:rsid w:val="00992DD7"/>
    <w:rsid w:val="00992E41"/>
    <w:rsid w:val="009931B3"/>
    <w:rsid w:val="009934A9"/>
    <w:rsid w:val="00993F7C"/>
    <w:rsid w:val="009941EC"/>
    <w:rsid w:val="0099436C"/>
    <w:rsid w:val="009943A6"/>
    <w:rsid w:val="00994739"/>
    <w:rsid w:val="009949BE"/>
    <w:rsid w:val="00994E1B"/>
    <w:rsid w:val="009957BE"/>
    <w:rsid w:val="00995E19"/>
    <w:rsid w:val="00995FB8"/>
    <w:rsid w:val="009960AD"/>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B77"/>
    <w:rsid w:val="009A2FA0"/>
    <w:rsid w:val="009A2FB2"/>
    <w:rsid w:val="009A31EE"/>
    <w:rsid w:val="009A36D5"/>
    <w:rsid w:val="009A375E"/>
    <w:rsid w:val="009A3AD3"/>
    <w:rsid w:val="009A3FBF"/>
    <w:rsid w:val="009A4170"/>
    <w:rsid w:val="009A42FE"/>
    <w:rsid w:val="009A43C1"/>
    <w:rsid w:val="009A4566"/>
    <w:rsid w:val="009A47F9"/>
    <w:rsid w:val="009A4BE6"/>
    <w:rsid w:val="009A4C3D"/>
    <w:rsid w:val="009A5276"/>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5A6"/>
    <w:rsid w:val="009D087D"/>
    <w:rsid w:val="009D0D3B"/>
    <w:rsid w:val="009D150C"/>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510E"/>
    <w:rsid w:val="009D55C4"/>
    <w:rsid w:val="009D60CC"/>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963"/>
    <w:rsid w:val="009E3A3F"/>
    <w:rsid w:val="009E3F19"/>
    <w:rsid w:val="009E418E"/>
    <w:rsid w:val="009E419A"/>
    <w:rsid w:val="009E43CE"/>
    <w:rsid w:val="009E4444"/>
    <w:rsid w:val="009E4C48"/>
    <w:rsid w:val="009E5283"/>
    <w:rsid w:val="009E5589"/>
    <w:rsid w:val="009E5984"/>
    <w:rsid w:val="009E5AF5"/>
    <w:rsid w:val="009E5CBA"/>
    <w:rsid w:val="009E615E"/>
    <w:rsid w:val="009E627D"/>
    <w:rsid w:val="009E6EEE"/>
    <w:rsid w:val="009E7127"/>
    <w:rsid w:val="009E7285"/>
    <w:rsid w:val="009E74F5"/>
    <w:rsid w:val="009E7611"/>
    <w:rsid w:val="009E7A21"/>
    <w:rsid w:val="009F001A"/>
    <w:rsid w:val="009F00EF"/>
    <w:rsid w:val="009F0126"/>
    <w:rsid w:val="009F02B1"/>
    <w:rsid w:val="009F04D6"/>
    <w:rsid w:val="009F050F"/>
    <w:rsid w:val="009F09C1"/>
    <w:rsid w:val="009F0AFD"/>
    <w:rsid w:val="009F0F46"/>
    <w:rsid w:val="009F1256"/>
    <w:rsid w:val="009F1785"/>
    <w:rsid w:val="009F193B"/>
    <w:rsid w:val="009F1F20"/>
    <w:rsid w:val="009F2B6A"/>
    <w:rsid w:val="009F2FCE"/>
    <w:rsid w:val="009F3901"/>
    <w:rsid w:val="009F3A57"/>
    <w:rsid w:val="009F3D87"/>
    <w:rsid w:val="009F4AAB"/>
    <w:rsid w:val="009F4CFF"/>
    <w:rsid w:val="009F5A15"/>
    <w:rsid w:val="009F6437"/>
    <w:rsid w:val="009F6464"/>
    <w:rsid w:val="009F6514"/>
    <w:rsid w:val="009F7762"/>
    <w:rsid w:val="009F77D3"/>
    <w:rsid w:val="009F78C2"/>
    <w:rsid w:val="009F7AAC"/>
    <w:rsid w:val="009F7D66"/>
    <w:rsid w:val="00A0028F"/>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C6C"/>
    <w:rsid w:val="00A05FC1"/>
    <w:rsid w:val="00A060E9"/>
    <w:rsid w:val="00A06B2E"/>
    <w:rsid w:val="00A06B3D"/>
    <w:rsid w:val="00A07250"/>
    <w:rsid w:val="00A076B3"/>
    <w:rsid w:val="00A078AA"/>
    <w:rsid w:val="00A07C3C"/>
    <w:rsid w:val="00A10156"/>
    <w:rsid w:val="00A10CB1"/>
    <w:rsid w:val="00A111E1"/>
    <w:rsid w:val="00A11B5E"/>
    <w:rsid w:val="00A11D47"/>
    <w:rsid w:val="00A1251C"/>
    <w:rsid w:val="00A133CC"/>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72C"/>
    <w:rsid w:val="00A20D44"/>
    <w:rsid w:val="00A211EE"/>
    <w:rsid w:val="00A215BE"/>
    <w:rsid w:val="00A2186C"/>
    <w:rsid w:val="00A21AC3"/>
    <w:rsid w:val="00A21C59"/>
    <w:rsid w:val="00A22CD3"/>
    <w:rsid w:val="00A22CD6"/>
    <w:rsid w:val="00A22DFE"/>
    <w:rsid w:val="00A23174"/>
    <w:rsid w:val="00A23181"/>
    <w:rsid w:val="00A23A7D"/>
    <w:rsid w:val="00A24025"/>
    <w:rsid w:val="00A241E3"/>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1A8F"/>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87"/>
    <w:rsid w:val="00A36F73"/>
    <w:rsid w:val="00A36F76"/>
    <w:rsid w:val="00A37145"/>
    <w:rsid w:val="00A3752B"/>
    <w:rsid w:val="00A37BEB"/>
    <w:rsid w:val="00A37F68"/>
    <w:rsid w:val="00A4003F"/>
    <w:rsid w:val="00A403A6"/>
    <w:rsid w:val="00A40439"/>
    <w:rsid w:val="00A40839"/>
    <w:rsid w:val="00A40844"/>
    <w:rsid w:val="00A40CB1"/>
    <w:rsid w:val="00A40CD6"/>
    <w:rsid w:val="00A40DFB"/>
    <w:rsid w:val="00A4110D"/>
    <w:rsid w:val="00A418A5"/>
    <w:rsid w:val="00A41D90"/>
    <w:rsid w:val="00A41E93"/>
    <w:rsid w:val="00A4280F"/>
    <w:rsid w:val="00A42A77"/>
    <w:rsid w:val="00A42EEF"/>
    <w:rsid w:val="00A4339B"/>
    <w:rsid w:val="00A433F5"/>
    <w:rsid w:val="00A4351A"/>
    <w:rsid w:val="00A43532"/>
    <w:rsid w:val="00A43B5D"/>
    <w:rsid w:val="00A44068"/>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2FC"/>
    <w:rsid w:val="00A478FD"/>
    <w:rsid w:val="00A47952"/>
    <w:rsid w:val="00A5026F"/>
    <w:rsid w:val="00A50461"/>
    <w:rsid w:val="00A50AC8"/>
    <w:rsid w:val="00A50CD6"/>
    <w:rsid w:val="00A5107C"/>
    <w:rsid w:val="00A5155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57FFE"/>
    <w:rsid w:val="00A606C9"/>
    <w:rsid w:val="00A60759"/>
    <w:rsid w:val="00A60A01"/>
    <w:rsid w:val="00A60B29"/>
    <w:rsid w:val="00A60B7A"/>
    <w:rsid w:val="00A60E9E"/>
    <w:rsid w:val="00A615DE"/>
    <w:rsid w:val="00A616C9"/>
    <w:rsid w:val="00A616F7"/>
    <w:rsid w:val="00A61CB8"/>
    <w:rsid w:val="00A61F5F"/>
    <w:rsid w:val="00A61FC2"/>
    <w:rsid w:val="00A623FA"/>
    <w:rsid w:val="00A62CC6"/>
    <w:rsid w:val="00A630C9"/>
    <w:rsid w:val="00A63472"/>
    <w:rsid w:val="00A63978"/>
    <w:rsid w:val="00A63B8B"/>
    <w:rsid w:val="00A63CD5"/>
    <w:rsid w:val="00A63CFD"/>
    <w:rsid w:val="00A63FD8"/>
    <w:rsid w:val="00A64525"/>
    <w:rsid w:val="00A64685"/>
    <w:rsid w:val="00A6469D"/>
    <w:rsid w:val="00A647D2"/>
    <w:rsid w:val="00A650E8"/>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4B8"/>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A8F"/>
    <w:rsid w:val="00A82FEC"/>
    <w:rsid w:val="00A83337"/>
    <w:rsid w:val="00A83BE5"/>
    <w:rsid w:val="00A83EDB"/>
    <w:rsid w:val="00A83F92"/>
    <w:rsid w:val="00A842E9"/>
    <w:rsid w:val="00A845DF"/>
    <w:rsid w:val="00A84B1E"/>
    <w:rsid w:val="00A84CAA"/>
    <w:rsid w:val="00A84E62"/>
    <w:rsid w:val="00A84F70"/>
    <w:rsid w:val="00A85097"/>
    <w:rsid w:val="00A8514F"/>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31F"/>
    <w:rsid w:val="00A918E6"/>
    <w:rsid w:val="00A9232F"/>
    <w:rsid w:val="00A92631"/>
    <w:rsid w:val="00A9266A"/>
    <w:rsid w:val="00A92FB2"/>
    <w:rsid w:val="00A934A3"/>
    <w:rsid w:val="00A938E6"/>
    <w:rsid w:val="00A939D4"/>
    <w:rsid w:val="00A93B69"/>
    <w:rsid w:val="00A93D8C"/>
    <w:rsid w:val="00A93DD5"/>
    <w:rsid w:val="00A93FE5"/>
    <w:rsid w:val="00A94298"/>
    <w:rsid w:val="00A943B4"/>
    <w:rsid w:val="00A947A4"/>
    <w:rsid w:val="00A94A84"/>
    <w:rsid w:val="00A9520A"/>
    <w:rsid w:val="00A9537B"/>
    <w:rsid w:val="00A9542F"/>
    <w:rsid w:val="00A95DE6"/>
    <w:rsid w:val="00A95DF4"/>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6AE"/>
    <w:rsid w:val="00AA3811"/>
    <w:rsid w:val="00AA3CDB"/>
    <w:rsid w:val="00AA4135"/>
    <w:rsid w:val="00AA43C1"/>
    <w:rsid w:val="00AA4560"/>
    <w:rsid w:val="00AA4A58"/>
    <w:rsid w:val="00AA4C29"/>
    <w:rsid w:val="00AA4D5F"/>
    <w:rsid w:val="00AA4E66"/>
    <w:rsid w:val="00AA5137"/>
    <w:rsid w:val="00AA51AD"/>
    <w:rsid w:val="00AA5718"/>
    <w:rsid w:val="00AA5864"/>
    <w:rsid w:val="00AA58E9"/>
    <w:rsid w:val="00AA5A44"/>
    <w:rsid w:val="00AA5F58"/>
    <w:rsid w:val="00AA61D6"/>
    <w:rsid w:val="00AA62FA"/>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44E"/>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50F"/>
    <w:rsid w:val="00AE1B78"/>
    <w:rsid w:val="00AE2227"/>
    <w:rsid w:val="00AE263C"/>
    <w:rsid w:val="00AE29C9"/>
    <w:rsid w:val="00AE2A3B"/>
    <w:rsid w:val="00AE2ACE"/>
    <w:rsid w:val="00AE2B4E"/>
    <w:rsid w:val="00AE2CB1"/>
    <w:rsid w:val="00AE2E23"/>
    <w:rsid w:val="00AE2E7D"/>
    <w:rsid w:val="00AE3479"/>
    <w:rsid w:val="00AE3BDD"/>
    <w:rsid w:val="00AE3F89"/>
    <w:rsid w:val="00AE4244"/>
    <w:rsid w:val="00AE491A"/>
    <w:rsid w:val="00AE4A5C"/>
    <w:rsid w:val="00AE55D0"/>
    <w:rsid w:val="00AE5CE6"/>
    <w:rsid w:val="00AE5E90"/>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1DE5"/>
    <w:rsid w:val="00AF2226"/>
    <w:rsid w:val="00AF25AC"/>
    <w:rsid w:val="00AF29BF"/>
    <w:rsid w:val="00AF2AF9"/>
    <w:rsid w:val="00AF2F89"/>
    <w:rsid w:val="00AF320D"/>
    <w:rsid w:val="00AF3603"/>
    <w:rsid w:val="00AF37B6"/>
    <w:rsid w:val="00AF3873"/>
    <w:rsid w:val="00AF43A8"/>
    <w:rsid w:val="00AF43E9"/>
    <w:rsid w:val="00AF4AC1"/>
    <w:rsid w:val="00AF52AE"/>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D89"/>
    <w:rsid w:val="00B022AC"/>
    <w:rsid w:val="00B02E20"/>
    <w:rsid w:val="00B03208"/>
    <w:rsid w:val="00B034A1"/>
    <w:rsid w:val="00B03553"/>
    <w:rsid w:val="00B03592"/>
    <w:rsid w:val="00B036A3"/>
    <w:rsid w:val="00B0389D"/>
    <w:rsid w:val="00B041FE"/>
    <w:rsid w:val="00B0450B"/>
    <w:rsid w:val="00B04891"/>
    <w:rsid w:val="00B04AB1"/>
    <w:rsid w:val="00B04BDB"/>
    <w:rsid w:val="00B04D3A"/>
    <w:rsid w:val="00B04E18"/>
    <w:rsid w:val="00B0500D"/>
    <w:rsid w:val="00B05379"/>
    <w:rsid w:val="00B05903"/>
    <w:rsid w:val="00B05ABD"/>
    <w:rsid w:val="00B05F8F"/>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DF5"/>
    <w:rsid w:val="00B12F00"/>
    <w:rsid w:val="00B13CF8"/>
    <w:rsid w:val="00B14342"/>
    <w:rsid w:val="00B14A9F"/>
    <w:rsid w:val="00B14F9D"/>
    <w:rsid w:val="00B14FF7"/>
    <w:rsid w:val="00B1513F"/>
    <w:rsid w:val="00B15201"/>
    <w:rsid w:val="00B157F6"/>
    <w:rsid w:val="00B1586D"/>
    <w:rsid w:val="00B158B2"/>
    <w:rsid w:val="00B159A0"/>
    <w:rsid w:val="00B15A77"/>
    <w:rsid w:val="00B15B52"/>
    <w:rsid w:val="00B15C9F"/>
    <w:rsid w:val="00B15EF8"/>
    <w:rsid w:val="00B16C5A"/>
    <w:rsid w:val="00B17322"/>
    <w:rsid w:val="00B175E8"/>
    <w:rsid w:val="00B1797A"/>
    <w:rsid w:val="00B17E2C"/>
    <w:rsid w:val="00B2019B"/>
    <w:rsid w:val="00B204BD"/>
    <w:rsid w:val="00B205C5"/>
    <w:rsid w:val="00B2086D"/>
    <w:rsid w:val="00B20B8A"/>
    <w:rsid w:val="00B20C9A"/>
    <w:rsid w:val="00B215D9"/>
    <w:rsid w:val="00B21C54"/>
    <w:rsid w:val="00B2251E"/>
    <w:rsid w:val="00B2267F"/>
    <w:rsid w:val="00B226C3"/>
    <w:rsid w:val="00B227C7"/>
    <w:rsid w:val="00B2289B"/>
    <w:rsid w:val="00B22A6A"/>
    <w:rsid w:val="00B22B01"/>
    <w:rsid w:val="00B22D1E"/>
    <w:rsid w:val="00B22D3D"/>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A3B"/>
    <w:rsid w:val="00B27B69"/>
    <w:rsid w:val="00B27D26"/>
    <w:rsid w:val="00B3000E"/>
    <w:rsid w:val="00B304F9"/>
    <w:rsid w:val="00B30738"/>
    <w:rsid w:val="00B30BE3"/>
    <w:rsid w:val="00B30E15"/>
    <w:rsid w:val="00B3123D"/>
    <w:rsid w:val="00B313CD"/>
    <w:rsid w:val="00B31B31"/>
    <w:rsid w:val="00B31C46"/>
    <w:rsid w:val="00B31EE1"/>
    <w:rsid w:val="00B31FBE"/>
    <w:rsid w:val="00B322FD"/>
    <w:rsid w:val="00B32677"/>
    <w:rsid w:val="00B331FC"/>
    <w:rsid w:val="00B34B83"/>
    <w:rsid w:val="00B34C9F"/>
    <w:rsid w:val="00B34D47"/>
    <w:rsid w:val="00B34D4D"/>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3A3"/>
    <w:rsid w:val="00B447C0"/>
    <w:rsid w:val="00B4489C"/>
    <w:rsid w:val="00B449A9"/>
    <w:rsid w:val="00B44A60"/>
    <w:rsid w:val="00B44FEF"/>
    <w:rsid w:val="00B45015"/>
    <w:rsid w:val="00B4516F"/>
    <w:rsid w:val="00B45C35"/>
    <w:rsid w:val="00B464B1"/>
    <w:rsid w:val="00B46984"/>
    <w:rsid w:val="00B46D35"/>
    <w:rsid w:val="00B46D56"/>
    <w:rsid w:val="00B4715C"/>
    <w:rsid w:val="00B47773"/>
    <w:rsid w:val="00B477F6"/>
    <w:rsid w:val="00B47A1C"/>
    <w:rsid w:val="00B47AFE"/>
    <w:rsid w:val="00B47BF9"/>
    <w:rsid w:val="00B47E98"/>
    <w:rsid w:val="00B505F0"/>
    <w:rsid w:val="00B50A10"/>
    <w:rsid w:val="00B50C63"/>
    <w:rsid w:val="00B50DE6"/>
    <w:rsid w:val="00B50E04"/>
    <w:rsid w:val="00B50FA0"/>
    <w:rsid w:val="00B5130D"/>
    <w:rsid w:val="00B5162B"/>
    <w:rsid w:val="00B517DA"/>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E0A"/>
    <w:rsid w:val="00B57E79"/>
    <w:rsid w:val="00B57E84"/>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7B0"/>
    <w:rsid w:val="00B6482B"/>
    <w:rsid w:val="00B6490A"/>
    <w:rsid w:val="00B64AE9"/>
    <w:rsid w:val="00B64E9E"/>
    <w:rsid w:val="00B65408"/>
    <w:rsid w:val="00B65628"/>
    <w:rsid w:val="00B65687"/>
    <w:rsid w:val="00B657C7"/>
    <w:rsid w:val="00B65BF4"/>
    <w:rsid w:val="00B66066"/>
    <w:rsid w:val="00B66384"/>
    <w:rsid w:val="00B6669E"/>
    <w:rsid w:val="00B670A6"/>
    <w:rsid w:val="00B6716D"/>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67A"/>
    <w:rsid w:val="00B7282C"/>
    <w:rsid w:val="00B7288F"/>
    <w:rsid w:val="00B72F46"/>
    <w:rsid w:val="00B72F96"/>
    <w:rsid w:val="00B73176"/>
    <w:rsid w:val="00B73248"/>
    <w:rsid w:val="00B73286"/>
    <w:rsid w:val="00B73A34"/>
    <w:rsid w:val="00B73AA5"/>
    <w:rsid w:val="00B73B8A"/>
    <w:rsid w:val="00B74751"/>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EDC"/>
    <w:rsid w:val="00B80F87"/>
    <w:rsid w:val="00B81124"/>
    <w:rsid w:val="00B8113F"/>
    <w:rsid w:val="00B813B0"/>
    <w:rsid w:val="00B81603"/>
    <w:rsid w:val="00B81C10"/>
    <w:rsid w:val="00B81CF1"/>
    <w:rsid w:val="00B81D97"/>
    <w:rsid w:val="00B823A3"/>
    <w:rsid w:val="00B82613"/>
    <w:rsid w:val="00B82D33"/>
    <w:rsid w:val="00B83331"/>
    <w:rsid w:val="00B835D6"/>
    <w:rsid w:val="00B83B5A"/>
    <w:rsid w:val="00B83CEB"/>
    <w:rsid w:val="00B84177"/>
    <w:rsid w:val="00B8421D"/>
    <w:rsid w:val="00B8426E"/>
    <w:rsid w:val="00B8458D"/>
    <w:rsid w:val="00B84C84"/>
    <w:rsid w:val="00B858D0"/>
    <w:rsid w:val="00B85D5B"/>
    <w:rsid w:val="00B860AD"/>
    <w:rsid w:val="00B862A7"/>
    <w:rsid w:val="00B863B9"/>
    <w:rsid w:val="00B86898"/>
    <w:rsid w:val="00B8689A"/>
    <w:rsid w:val="00B86B41"/>
    <w:rsid w:val="00B875FF"/>
    <w:rsid w:val="00B876C1"/>
    <w:rsid w:val="00B8799E"/>
    <w:rsid w:val="00B87CAE"/>
    <w:rsid w:val="00B87EF1"/>
    <w:rsid w:val="00B90922"/>
    <w:rsid w:val="00B9192E"/>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50"/>
    <w:rsid w:val="00B95ED7"/>
    <w:rsid w:val="00B9643E"/>
    <w:rsid w:val="00B9651F"/>
    <w:rsid w:val="00B96711"/>
    <w:rsid w:val="00B96A72"/>
    <w:rsid w:val="00B975FF"/>
    <w:rsid w:val="00B9770E"/>
    <w:rsid w:val="00B97971"/>
    <w:rsid w:val="00B97BCF"/>
    <w:rsid w:val="00BA0AD9"/>
    <w:rsid w:val="00BA0FF7"/>
    <w:rsid w:val="00BA1630"/>
    <w:rsid w:val="00BA1B4B"/>
    <w:rsid w:val="00BA1E48"/>
    <w:rsid w:val="00BA2066"/>
    <w:rsid w:val="00BA2794"/>
    <w:rsid w:val="00BA2F81"/>
    <w:rsid w:val="00BA3E3E"/>
    <w:rsid w:val="00BA4614"/>
    <w:rsid w:val="00BA4BE0"/>
    <w:rsid w:val="00BA546D"/>
    <w:rsid w:val="00BA606C"/>
    <w:rsid w:val="00BA6367"/>
    <w:rsid w:val="00BA668E"/>
    <w:rsid w:val="00BA6988"/>
    <w:rsid w:val="00BA6C7E"/>
    <w:rsid w:val="00BA6FAD"/>
    <w:rsid w:val="00BA70AC"/>
    <w:rsid w:val="00BA726F"/>
    <w:rsid w:val="00BA7882"/>
    <w:rsid w:val="00BA7D32"/>
    <w:rsid w:val="00BB045C"/>
    <w:rsid w:val="00BB07B8"/>
    <w:rsid w:val="00BB0816"/>
    <w:rsid w:val="00BB0D1E"/>
    <w:rsid w:val="00BB1461"/>
    <w:rsid w:val="00BB2541"/>
    <w:rsid w:val="00BB26EC"/>
    <w:rsid w:val="00BB28EC"/>
    <w:rsid w:val="00BB2C11"/>
    <w:rsid w:val="00BB2EA4"/>
    <w:rsid w:val="00BB304F"/>
    <w:rsid w:val="00BB3415"/>
    <w:rsid w:val="00BB34D4"/>
    <w:rsid w:val="00BB3E2B"/>
    <w:rsid w:val="00BB3E8D"/>
    <w:rsid w:val="00BB4074"/>
    <w:rsid w:val="00BB4114"/>
    <w:rsid w:val="00BB4551"/>
    <w:rsid w:val="00BB4BF4"/>
    <w:rsid w:val="00BB4CB5"/>
    <w:rsid w:val="00BB5341"/>
    <w:rsid w:val="00BB5817"/>
    <w:rsid w:val="00BB58BB"/>
    <w:rsid w:val="00BB5A07"/>
    <w:rsid w:val="00BB5C8D"/>
    <w:rsid w:val="00BB6434"/>
    <w:rsid w:val="00BB6436"/>
    <w:rsid w:val="00BB665A"/>
    <w:rsid w:val="00BB67D1"/>
    <w:rsid w:val="00BB6ACC"/>
    <w:rsid w:val="00BB6BE4"/>
    <w:rsid w:val="00BB6C64"/>
    <w:rsid w:val="00BB6C7A"/>
    <w:rsid w:val="00BB6E8E"/>
    <w:rsid w:val="00BB76F6"/>
    <w:rsid w:val="00BB7832"/>
    <w:rsid w:val="00BB7B33"/>
    <w:rsid w:val="00BB7EA7"/>
    <w:rsid w:val="00BC1730"/>
    <w:rsid w:val="00BC19C0"/>
    <w:rsid w:val="00BC2158"/>
    <w:rsid w:val="00BC21A5"/>
    <w:rsid w:val="00BC2555"/>
    <w:rsid w:val="00BC26C1"/>
    <w:rsid w:val="00BC2762"/>
    <w:rsid w:val="00BC296E"/>
    <w:rsid w:val="00BC3062"/>
    <w:rsid w:val="00BC330C"/>
    <w:rsid w:val="00BC3509"/>
    <w:rsid w:val="00BC3759"/>
    <w:rsid w:val="00BC3841"/>
    <w:rsid w:val="00BC3DE3"/>
    <w:rsid w:val="00BC3E63"/>
    <w:rsid w:val="00BC401B"/>
    <w:rsid w:val="00BC454A"/>
    <w:rsid w:val="00BC47FB"/>
    <w:rsid w:val="00BC48E0"/>
    <w:rsid w:val="00BC490C"/>
    <w:rsid w:val="00BC5111"/>
    <w:rsid w:val="00BC51EE"/>
    <w:rsid w:val="00BC54B2"/>
    <w:rsid w:val="00BC5AA7"/>
    <w:rsid w:val="00BC5FDE"/>
    <w:rsid w:val="00BC613B"/>
    <w:rsid w:val="00BC655E"/>
    <w:rsid w:val="00BC6642"/>
    <w:rsid w:val="00BC6C67"/>
    <w:rsid w:val="00BC6E7E"/>
    <w:rsid w:val="00BC78C6"/>
    <w:rsid w:val="00BC7A24"/>
    <w:rsid w:val="00BC7D6B"/>
    <w:rsid w:val="00BC7F1F"/>
    <w:rsid w:val="00BD0600"/>
    <w:rsid w:val="00BD129A"/>
    <w:rsid w:val="00BD1E46"/>
    <w:rsid w:val="00BD20A2"/>
    <w:rsid w:val="00BD2108"/>
    <w:rsid w:val="00BD2543"/>
    <w:rsid w:val="00BD28BA"/>
    <w:rsid w:val="00BD2B1E"/>
    <w:rsid w:val="00BD2E2A"/>
    <w:rsid w:val="00BD3212"/>
    <w:rsid w:val="00BD3618"/>
    <w:rsid w:val="00BD3799"/>
    <w:rsid w:val="00BD3AA1"/>
    <w:rsid w:val="00BD3DEB"/>
    <w:rsid w:val="00BD474B"/>
    <w:rsid w:val="00BD51F7"/>
    <w:rsid w:val="00BD57F0"/>
    <w:rsid w:val="00BD586D"/>
    <w:rsid w:val="00BD5EA8"/>
    <w:rsid w:val="00BD5F13"/>
    <w:rsid w:val="00BD60E6"/>
    <w:rsid w:val="00BD65B0"/>
    <w:rsid w:val="00BD669A"/>
    <w:rsid w:val="00BD67CD"/>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9C5"/>
    <w:rsid w:val="00BF1FB6"/>
    <w:rsid w:val="00BF2752"/>
    <w:rsid w:val="00BF2AE3"/>
    <w:rsid w:val="00BF3290"/>
    <w:rsid w:val="00BF32E3"/>
    <w:rsid w:val="00BF3B5F"/>
    <w:rsid w:val="00BF3B65"/>
    <w:rsid w:val="00BF437E"/>
    <w:rsid w:val="00BF4471"/>
    <w:rsid w:val="00BF462F"/>
    <w:rsid w:val="00BF522D"/>
    <w:rsid w:val="00BF5336"/>
    <w:rsid w:val="00BF53D3"/>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EB0"/>
    <w:rsid w:val="00C010D2"/>
    <w:rsid w:val="00C013CC"/>
    <w:rsid w:val="00C015F3"/>
    <w:rsid w:val="00C01AE4"/>
    <w:rsid w:val="00C01B96"/>
    <w:rsid w:val="00C02A50"/>
    <w:rsid w:val="00C02C17"/>
    <w:rsid w:val="00C02C35"/>
    <w:rsid w:val="00C02CD4"/>
    <w:rsid w:val="00C034CC"/>
    <w:rsid w:val="00C0378E"/>
    <w:rsid w:val="00C039C3"/>
    <w:rsid w:val="00C03C8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18"/>
    <w:rsid w:val="00C152AD"/>
    <w:rsid w:val="00C152C5"/>
    <w:rsid w:val="00C15741"/>
    <w:rsid w:val="00C15818"/>
    <w:rsid w:val="00C158D0"/>
    <w:rsid w:val="00C16208"/>
    <w:rsid w:val="00C1697B"/>
    <w:rsid w:val="00C16F8E"/>
    <w:rsid w:val="00C17667"/>
    <w:rsid w:val="00C1769B"/>
    <w:rsid w:val="00C17D39"/>
    <w:rsid w:val="00C17E08"/>
    <w:rsid w:val="00C17EB1"/>
    <w:rsid w:val="00C20693"/>
    <w:rsid w:val="00C20835"/>
    <w:rsid w:val="00C20934"/>
    <w:rsid w:val="00C209E7"/>
    <w:rsid w:val="00C20C01"/>
    <w:rsid w:val="00C20C5F"/>
    <w:rsid w:val="00C20CB5"/>
    <w:rsid w:val="00C21107"/>
    <w:rsid w:val="00C211AA"/>
    <w:rsid w:val="00C212F8"/>
    <w:rsid w:val="00C2183D"/>
    <w:rsid w:val="00C219F9"/>
    <w:rsid w:val="00C21D35"/>
    <w:rsid w:val="00C21EC0"/>
    <w:rsid w:val="00C21FAF"/>
    <w:rsid w:val="00C2266B"/>
    <w:rsid w:val="00C22838"/>
    <w:rsid w:val="00C22862"/>
    <w:rsid w:val="00C2289A"/>
    <w:rsid w:val="00C22DE5"/>
    <w:rsid w:val="00C2306B"/>
    <w:rsid w:val="00C23BF0"/>
    <w:rsid w:val="00C23D53"/>
    <w:rsid w:val="00C23E31"/>
    <w:rsid w:val="00C23F90"/>
    <w:rsid w:val="00C241D3"/>
    <w:rsid w:val="00C24246"/>
    <w:rsid w:val="00C2465B"/>
    <w:rsid w:val="00C248D1"/>
    <w:rsid w:val="00C24DAF"/>
    <w:rsid w:val="00C257EF"/>
    <w:rsid w:val="00C25BCF"/>
    <w:rsid w:val="00C25EA0"/>
    <w:rsid w:val="00C2600D"/>
    <w:rsid w:val="00C26173"/>
    <w:rsid w:val="00C262AE"/>
    <w:rsid w:val="00C26669"/>
    <w:rsid w:val="00C26918"/>
    <w:rsid w:val="00C26B37"/>
    <w:rsid w:val="00C26D4D"/>
    <w:rsid w:val="00C26D51"/>
    <w:rsid w:val="00C26E8C"/>
    <w:rsid w:val="00C2744D"/>
    <w:rsid w:val="00C27FF2"/>
    <w:rsid w:val="00C302FA"/>
    <w:rsid w:val="00C306DF"/>
    <w:rsid w:val="00C30B02"/>
    <w:rsid w:val="00C30FC4"/>
    <w:rsid w:val="00C3129C"/>
    <w:rsid w:val="00C31AB2"/>
    <w:rsid w:val="00C31BA6"/>
    <w:rsid w:val="00C3257A"/>
    <w:rsid w:val="00C32B36"/>
    <w:rsid w:val="00C34364"/>
    <w:rsid w:val="00C3547B"/>
    <w:rsid w:val="00C3550C"/>
    <w:rsid w:val="00C35E7A"/>
    <w:rsid w:val="00C36388"/>
    <w:rsid w:val="00C371E7"/>
    <w:rsid w:val="00C37251"/>
    <w:rsid w:val="00C374A6"/>
    <w:rsid w:val="00C37616"/>
    <w:rsid w:val="00C37BB2"/>
    <w:rsid w:val="00C37EA6"/>
    <w:rsid w:val="00C40424"/>
    <w:rsid w:val="00C40733"/>
    <w:rsid w:val="00C408D7"/>
    <w:rsid w:val="00C40A25"/>
    <w:rsid w:val="00C40B42"/>
    <w:rsid w:val="00C41713"/>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4F69"/>
    <w:rsid w:val="00C45063"/>
    <w:rsid w:val="00C452B1"/>
    <w:rsid w:val="00C45344"/>
    <w:rsid w:val="00C45746"/>
    <w:rsid w:val="00C45755"/>
    <w:rsid w:val="00C45918"/>
    <w:rsid w:val="00C4594F"/>
    <w:rsid w:val="00C45E50"/>
    <w:rsid w:val="00C463B5"/>
    <w:rsid w:val="00C47524"/>
    <w:rsid w:val="00C47732"/>
    <w:rsid w:val="00C47A87"/>
    <w:rsid w:val="00C500FF"/>
    <w:rsid w:val="00C5092C"/>
    <w:rsid w:val="00C50A24"/>
    <w:rsid w:val="00C50B1E"/>
    <w:rsid w:val="00C5122E"/>
    <w:rsid w:val="00C515E1"/>
    <w:rsid w:val="00C51769"/>
    <w:rsid w:val="00C51A13"/>
    <w:rsid w:val="00C51F3B"/>
    <w:rsid w:val="00C52652"/>
    <w:rsid w:val="00C527DC"/>
    <w:rsid w:val="00C52864"/>
    <w:rsid w:val="00C52AC7"/>
    <w:rsid w:val="00C53097"/>
    <w:rsid w:val="00C53A49"/>
    <w:rsid w:val="00C54095"/>
    <w:rsid w:val="00C5427D"/>
    <w:rsid w:val="00C54862"/>
    <w:rsid w:val="00C55379"/>
    <w:rsid w:val="00C558E3"/>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1D4"/>
    <w:rsid w:val="00C61486"/>
    <w:rsid w:val="00C6163E"/>
    <w:rsid w:val="00C61A0B"/>
    <w:rsid w:val="00C61E49"/>
    <w:rsid w:val="00C61FFB"/>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DC2"/>
    <w:rsid w:val="00C712B0"/>
    <w:rsid w:val="00C712B7"/>
    <w:rsid w:val="00C71DD0"/>
    <w:rsid w:val="00C71FA4"/>
    <w:rsid w:val="00C7221A"/>
    <w:rsid w:val="00C726A3"/>
    <w:rsid w:val="00C727A9"/>
    <w:rsid w:val="00C72BBD"/>
    <w:rsid w:val="00C730EC"/>
    <w:rsid w:val="00C7320B"/>
    <w:rsid w:val="00C7336E"/>
    <w:rsid w:val="00C738E1"/>
    <w:rsid w:val="00C73A32"/>
    <w:rsid w:val="00C73C4F"/>
    <w:rsid w:val="00C73D61"/>
    <w:rsid w:val="00C74243"/>
    <w:rsid w:val="00C7429B"/>
    <w:rsid w:val="00C743B0"/>
    <w:rsid w:val="00C743B1"/>
    <w:rsid w:val="00C7449E"/>
    <w:rsid w:val="00C7488B"/>
    <w:rsid w:val="00C749A2"/>
    <w:rsid w:val="00C74B87"/>
    <w:rsid w:val="00C74E4F"/>
    <w:rsid w:val="00C75844"/>
    <w:rsid w:val="00C75949"/>
    <w:rsid w:val="00C75990"/>
    <w:rsid w:val="00C765EF"/>
    <w:rsid w:val="00C76939"/>
    <w:rsid w:val="00C76E32"/>
    <w:rsid w:val="00C76E4E"/>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2D87"/>
    <w:rsid w:val="00C832A5"/>
    <w:rsid w:val="00C83B43"/>
    <w:rsid w:val="00C83EBA"/>
    <w:rsid w:val="00C84A35"/>
    <w:rsid w:val="00C84BFA"/>
    <w:rsid w:val="00C85F51"/>
    <w:rsid w:val="00C860D6"/>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DB1"/>
    <w:rsid w:val="00C92EF2"/>
    <w:rsid w:val="00C9302B"/>
    <w:rsid w:val="00C93120"/>
    <w:rsid w:val="00C932A3"/>
    <w:rsid w:val="00C93B0E"/>
    <w:rsid w:val="00C93BF6"/>
    <w:rsid w:val="00C93BF9"/>
    <w:rsid w:val="00C93DAF"/>
    <w:rsid w:val="00C94570"/>
    <w:rsid w:val="00C9460C"/>
    <w:rsid w:val="00C947B6"/>
    <w:rsid w:val="00C9488D"/>
    <w:rsid w:val="00C948BB"/>
    <w:rsid w:val="00C948F1"/>
    <w:rsid w:val="00C94B75"/>
    <w:rsid w:val="00C953AB"/>
    <w:rsid w:val="00C955F3"/>
    <w:rsid w:val="00C95DAA"/>
    <w:rsid w:val="00C95FD1"/>
    <w:rsid w:val="00C96B13"/>
    <w:rsid w:val="00C96E22"/>
    <w:rsid w:val="00C96E9B"/>
    <w:rsid w:val="00C96F79"/>
    <w:rsid w:val="00C97411"/>
    <w:rsid w:val="00C97C50"/>
    <w:rsid w:val="00CA0872"/>
    <w:rsid w:val="00CA0940"/>
    <w:rsid w:val="00CA0BB5"/>
    <w:rsid w:val="00CA0DD7"/>
    <w:rsid w:val="00CA1A53"/>
    <w:rsid w:val="00CA1FE4"/>
    <w:rsid w:val="00CA270E"/>
    <w:rsid w:val="00CA2EA1"/>
    <w:rsid w:val="00CA31FD"/>
    <w:rsid w:val="00CA34AB"/>
    <w:rsid w:val="00CA35E2"/>
    <w:rsid w:val="00CA3933"/>
    <w:rsid w:val="00CA3D58"/>
    <w:rsid w:val="00CA5600"/>
    <w:rsid w:val="00CA5681"/>
    <w:rsid w:val="00CA6665"/>
    <w:rsid w:val="00CA6A3E"/>
    <w:rsid w:val="00CA6B6E"/>
    <w:rsid w:val="00CA6BBA"/>
    <w:rsid w:val="00CA6E23"/>
    <w:rsid w:val="00CA71FF"/>
    <w:rsid w:val="00CA756D"/>
    <w:rsid w:val="00CA7A28"/>
    <w:rsid w:val="00CA7D54"/>
    <w:rsid w:val="00CA7DCE"/>
    <w:rsid w:val="00CA7E9E"/>
    <w:rsid w:val="00CB028B"/>
    <w:rsid w:val="00CB065B"/>
    <w:rsid w:val="00CB07BD"/>
    <w:rsid w:val="00CB09DA"/>
    <w:rsid w:val="00CB0F96"/>
    <w:rsid w:val="00CB12E0"/>
    <w:rsid w:val="00CB1BDC"/>
    <w:rsid w:val="00CB1BF1"/>
    <w:rsid w:val="00CB1CFD"/>
    <w:rsid w:val="00CB1D9C"/>
    <w:rsid w:val="00CB1DEE"/>
    <w:rsid w:val="00CB1E16"/>
    <w:rsid w:val="00CB23DD"/>
    <w:rsid w:val="00CB2C4D"/>
    <w:rsid w:val="00CB2C8D"/>
    <w:rsid w:val="00CB2F90"/>
    <w:rsid w:val="00CB3444"/>
    <w:rsid w:val="00CB35A6"/>
    <w:rsid w:val="00CB36FA"/>
    <w:rsid w:val="00CB412A"/>
    <w:rsid w:val="00CB42B0"/>
    <w:rsid w:val="00CB4C12"/>
    <w:rsid w:val="00CB4D4B"/>
    <w:rsid w:val="00CB4DC2"/>
    <w:rsid w:val="00CB4F67"/>
    <w:rsid w:val="00CB5130"/>
    <w:rsid w:val="00CB518E"/>
    <w:rsid w:val="00CB522B"/>
    <w:rsid w:val="00CB5662"/>
    <w:rsid w:val="00CB57B3"/>
    <w:rsid w:val="00CB5A3A"/>
    <w:rsid w:val="00CB5C6A"/>
    <w:rsid w:val="00CB615A"/>
    <w:rsid w:val="00CB64CB"/>
    <w:rsid w:val="00CB70DE"/>
    <w:rsid w:val="00CB717C"/>
    <w:rsid w:val="00CB7A2D"/>
    <w:rsid w:val="00CC0001"/>
    <w:rsid w:val="00CC0018"/>
    <w:rsid w:val="00CC01AD"/>
    <w:rsid w:val="00CC06F4"/>
    <w:rsid w:val="00CC0B75"/>
    <w:rsid w:val="00CC1464"/>
    <w:rsid w:val="00CC1594"/>
    <w:rsid w:val="00CC1775"/>
    <w:rsid w:val="00CC19A9"/>
    <w:rsid w:val="00CC230D"/>
    <w:rsid w:val="00CC2635"/>
    <w:rsid w:val="00CC2AE9"/>
    <w:rsid w:val="00CC3230"/>
    <w:rsid w:val="00CC3575"/>
    <w:rsid w:val="00CC390D"/>
    <w:rsid w:val="00CC3D1B"/>
    <w:rsid w:val="00CC4465"/>
    <w:rsid w:val="00CC4583"/>
    <w:rsid w:val="00CC470A"/>
    <w:rsid w:val="00CC4EEF"/>
    <w:rsid w:val="00CC5194"/>
    <w:rsid w:val="00CC55CE"/>
    <w:rsid w:val="00CC56EC"/>
    <w:rsid w:val="00CC5D0C"/>
    <w:rsid w:val="00CC5E1E"/>
    <w:rsid w:val="00CC65C0"/>
    <w:rsid w:val="00CC664C"/>
    <w:rsid w:val="00CC6D28"/>
    <w:rsid w:val="00CC71BF"/>
    <w:rsid w:val="00CC732E"/>
    <w:rsid w:val="00CC738E"/>
    <w:rsid w:val="00CC746E"/>
    <w:rsid w:val="00CC7BEC"/>
    <w:rsid w:val="00CD0055"/>
    <w:rsid w:val="00CD066C"/>
    <w:rsid w:val="00CD0A0B"/>
    <w:rsid w:val="00CD0C9E"/>
    <w:rsid w:val="00CD0CE8"/>
    <w:rsid w:val="00CD0D8A"/>
    <w:rsid w:val="00CD105A"/>
    <w:rsid w:val="00CD19E3"/>
    <w:rsid w:val="00CD1E72"/>
    <w:rsid w:val="00CD21B0"/>
    <w:rsid w:val="00CD26DF"/>
    <w:rsid w:val="00CD2B50"/>
    <w:rsid w:val="00CD2E99"/>
    <w:rsid w:val="00CD2F6B"/>
    <w:rsid w:val="00CD32F6"/>
    <w:rsid w:val="00CD3421"/>
    <w:rsid w:val="00CD356A"/>
    <w:rsid w:val="00CD3739"/>
    <w:rsid w:val="00CD3C78"/>
    <w:rsid w:val="00CD4084"/>
    <w:rsid w:val="00CD43BF"/>
    <w:rsid w:val="00CD44E3"/>
    <w:rsid w:val="00CD4BAB"/>
    <w:rsid w:val="00CD4C64"/>
    <w:rsid w:val="00CD4FA8"/>
    <w:rsid w:val="00CD5202"/>
    <w:rsid w:val="00CD5E70"/>
    <w:rsid w:val="00CD5ED8"/>
    <w:rsid w:val="00CD5F26"/>
    <w:rsid w:val="00CD621D"/>
    <w:rsid w:val="00CD6241"/>
    <w:rsid w:val="00CD6536"/>
    <w:rsid w:val="00CD65E7"/>
    <w:rsid w:val="00CD7078"/>
    <w:rsid w:val="00CD75A1"/>
    <w:rsid w:val="00CD7667"/>
    <w:rsid w:val="00CE04BA"/>
    <w:rsid w:val="00CE0709"/>
    <w:rsid w:val="00CE0714"/>
    <w:rsid w:val="00CE08EE"/>
    <w:rsid w:val="00CE0B12"/>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3F0"/>
    <w:rsid w:val="00CE5473"/>
    <w:rsid w:val="00CE55E8"/>
    <w:rsid w:val="00CE55EF"/>
    <w:rsid w:val="00CE5BEA"/>
    <w:rsid w:val="00CE63C6"/>
    <w:rsid w:val="00CE6507"/>
    <w:rsid w:val="00CE6549"/>
    <w:rsid w:val="00CE681F"/>
    <w:rsid w:val="00CE6962"/>
    <w:rsid w:val="00CE7741"/>
    <w:rsid w:val="00CE7EFA"/>
    <w:rsid w:val="00CE7F4A"/>
    <w:rsid w:val="00CE7F63"/>
    <w:rsid w:val="00CF0200"/>
    <w:rsid w:val="00CF05CC"/>
    <w:rsid w:val="00CF0A2E"/>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5C"/>
    <w:rsid w:val="00CF75EC"/>
    <w:rsid w:val="00CF7794"/>
    <w:rsid w:val="00CF7B3D"/>
    <w:rsid w:val="00CF7C08"/>
    <w:rsid w:val="00CF7E23"/>
    <w:rsid w:val="00D001B9"/>
    <w:rsid w:val="00D00419"/>
    <w:rsid w:val="00D00659"/>
    <w:rsid w:val="00D00B96"/>
    <w:rsid w:val="00D00F53"/>
    <w:rsid w:val="00D01307"/>
    <w:rsid w:val="00D01CFA"/>
    <w:rsid w:val="00D01F53"/>
    <w:rsid w:val="00D0227F"/>
    <w:rsid w:val="00D023E6"/>
    <w:rsid w:val="00D02492"/>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0D58"/>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403"/>
    <w:rsid w:val="00D146F2"/>
    <w:rsid w:val="00D1480E"/>
    <w:rsid w:val="00D14971"/>
    <w:rsid w:val="00D1498B"/>
    <w:rsid w:val="00D149AE"/>
    <w:rsid w:val="00D14CFA"/>
    <w:rsid w:val="00D15157"/>
    <w:rsid w:val="00D15411"/>
    <w:rsid w:val="00D15806"/>
    <w:rsid w:val="00D1593A"/>
    <w:rsid w:val="00D15DD4"/>
    <w:rsid w:val="00D15E25"/>
    <w:rsid w:val="00D1623C"/>
    <w:rsid w:val="00D164C6"/>
    <w:rsid w:val="00D169CF"/>
    <w:rsid w:val="00D16B23"/>
    <w:rsid w:val="00D170B3"/>
    <w:rsid w:val="00D17231"/>
    <w:rsid w:val="00D173A6"/>
    <w:rsid w:val="00D20082"/>
    <w:rsid w:val="00D200A6"/>
    <w:rsid w:val="00D200CF"/>
    <w:rsid w:val="00D20519"/>
    <w:rsid w:val="00D206C4"/>
    <w:rsid w:val="00D207E4"/>
    <w:rsid w:val="00D209E0"/>
    <w:rsid w:val="00D20DAF"/>
    <w:rsid w:val="00D20E25"/>
    <w:rsid w:val="00D21D10"/>
    <w:rsid w:val="00D220E7"/>
    <w:rsid w:val="00D223EA"/>
    <w:rsid w:val="00D22B2A"/>
    <w:rsid w:val="00D2369F"/>
    <w:rsid w:val="00D23D7E"/>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39A"/>
    <w:rsid w:val="00D3362D"/>
    <w:rsid w:val="00D33712"/>
    <w:rsid w:val="00D33F1D"/>
    <w:rsid w:val="00D33F7C"/>
    <w:rsid w:val="00D349CF"/>
    <w:rsid w:val="00D34B5B"/>
    <w:rsid w:val="00D3558E"/>
    <w:rsid w:val="00D35F37"/>
    <w:rsid w:val="00D36968"/>
    <w:rsid w:val="00D36AFB"/>
    <w:rsid w:val="00D36D97"/>
    <w:rsid w:val="00D37236"/>
    <w:rsid w:val="00D3759B"/>
    <w:rsid w:val="00D375CE"/>
    <w:rsid w:val="00D376B0"/>
    <w:rsid w:val="00D37828"/>
    <w:rsid w:val="00D379F2"/>
    <w:rsid w:val="00D37B4F"/>
    <w:rsid w:val="00D37BF4"/>
    <w:rsid w:val="00D37FF2"/>
    <w:rsid w:val="00D40007"/>
    <w:rsid w:val="00D40679"/>
    <w:rsid w:val="00D40837"/>
    <w:rsid w:val="00D408FE"/>
    <w:rsid w:val="00D40B1D"/>
    <w:rsid w:val="00D40B5E"/>
    <w:rsid w:val="00D40FDA"/>
    <w:rsid w:val="00D41104"/>
    <w:rsid w:val="00D41201"/>
    <w:rsid w:val="00D41202"/>
    <w:rsid w:val="00D4123A"/>
    <w:rsid w:val="00D4162B"/>
    <w:rsid w:val="00D41A3C"/>
    <w:rsid w:val="00D41FDC"/>
    <w:rsid w:val="00D4201C"/>
    <w:rsid w:val="00D4237F"/>
    <w:rsid w:val="00D4261F"/>
    <w:rsid w:val="00D42B03"/>
    <w:rsid w:val="00D42D89"/>
    <w:rsid w:val="00D42E51"/>
    <w:rsid w:val="00D42FD1"/>
    <w:rsid w:val="00D430A9"/>
    <w:rsid w:val="00D43408"/>
    <w:rsid w:val="00D4389C"/>
    <w:rsid w:val="00D438D3"/>
    <w:rsid w:val="00D440F4"/>
    <w:rsid w:val="00D444D5"/>
    <w:rsid w:val="00D44E66"/>
    <w:rsid w:val="00D4531E"/>
    <w:rsid w:val="00D46160"/>
    <w:rsid w:val="00D46299"/>
    <w:rsid w:val="00D46AB1"/>
    <w:rsid w:val="00D46C9C"/>
    <w:rsid w:val="00D46CCA"/>
    <w:rsid w:val="00D476E9"/>
    <w:rsid w:val="00D47BD8"/>
    <w:rsid w:val="00D47C16"/>
    <w:rsid w:val="00D47D48"/>
    <w:rsid w:val="00D50890"/>
    <w:rsid w:val="00D50C12"/>
    <w:rsid w:val="00D50C6E"/>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6D4"/>
    <w:rsid w:val="00D55834"/>
    <w:rsid w:val="00D5608C"/>
    <w:rsid w:val="00D563BA"/>
    <w:rsid w:val="00D56443"/>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123A"/>
    <w:rsid w:val="00D6349E"/>
    <w:rsid w:val="00D6353C"/>
    <w:rsid w:val="00D63646"/>
    <w:rsid w:val="00D640CB"/>
    <w:rsid w:val="00D644F5"/>
    <w:rsid w:val="00D64617"/>
    <w:rsid w:val="00D64E5E"/>
    <w:rsid w:val="00D652C4"/>
    <w:rsid w:val="00D65446"/>
    <w:rsid w:val="00D65934"/>
    <w:rsid w:val="00D65BA8"/>
    <w:rsid w:val="00D65D4C"/>
    <w:rsid w:val="00D65D9F"/>
    <w:rsid w:val="00D6605C"/>
    <w:rsid w:val="00D666F2"/>
    <w:rsid w:val="00D66C80"/>
    <w:rsid w:val="00D6731E"/>
    <w:rsid w:val="00D6755F"/>
    <w:rsid w:val="00D67582"/>
    <w:rsid w:val="00D6778F"/>
    <w:rsid w:val="00D67925"/>
    <w:rsid w:val="00D67A8F"/>
    <w:rsid w:val="00D705F4"/>
    <w:rsid w:val="00D70678"/>
    <w:rsid w:val="00D70A08"/>
    <w:rsid w:val="00D70C56"/>
    <w:rsid w:val="00D71078"/>
    <w:rsid w:val="00D712E0"/>
    <w:rsid w:val="00D71592"/>
    <w:rsid w:val="00D71834"/>
    <w:rsid w:val="00D71A11"/>
    <w:rsid w:val="00D72199"/>
    <w:rsid w:val="00D722E4"/>
    <w:rsid w:val="00D725E8"/>
    <w:rsid w:val="00D72741"/>
    <w:rsid w:val="00D7286C"/>
    <w:rsid w:val="00D72D14"/>
    <w:rsid w:val="00D73036"/>
    <w:rsid w:val="00D73080"/>
    <w:rsid w:val="00D73704"/>
    <w:rsid w:val="00D73733"/>
    <w:rsid w:val="00D73C26"/>
    <w:rsid w:val="00D73D54"/>
    <w:rsid w:val="00D7430F"/>
    <w:rsid w:val="00D743A6"/>
    <w:rsid w:val="00D746D5"/>
    <w:rsid w:val="00D74D8D"/>
    <w:rsid w:val="00D74E04"/>
    <w:rsid w:val="00D74F08"/>
    <w:rsid w:val="00D752AA"/>
    <w:rsid w:val="00D7533B"/>
    <w:rsid w:val="00D7558A"/>
    <w:rsid w:val="00D757F0"/>
    <w:rsid w:val="00D7589B"/>
    <w:rsid w:val="00D759DF"/>
    <w:rsid w:val="00D761EB"/>
    <w:rsid w:val="00D76893"/>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8F"/>
    <w:rsid w:val="00D80FF4"/>
    <w:rsid w:val="00D81169"/>
    <w:rsid w:val="00D81A55"/>
    <w:rsid w:val="00D826C2"/>
    <w:rsid w:val="00D82F20"/>
    <w:rsid w:val="00D82FE9"/>
    <w:rsid w:val="00D83419"/>
    <w:rsid w:val="00D83556"/>
    <w:rsid w:val="00D83613"/>
    <w:rsid w:val="00D83DC4"/>
    <w:rsid w:val="00D83F88"/>
    <w:rsid w:val="00D83F9F"/>
    <w:rsid w:val="00D83FFB"/>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9A"/>
    <w:rsid w:val="00D90B5B"/>
    <w:rsid w:val="00D91442"/>
    <w:rsid w:val="00D91811"/>
    <w:rsid w:val="00D91F1A"/>
    <w:rsid w:val="00D92096"/>
    <w:rsid w:val="00D92B8A"/>
    <w:rsid w:val="00D92BBE"/>
    <w:rsid w:val="00D93445"/>
    <w:rsid w:val="00D934A1"/>
    <w:rsid w:val="00D93A0F"/>
    <w:rsid w:val="00D93E44"/>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308"/>
    <w:rsid w:val="00DB0457"/>
    <w:rsid w:val="00DB045F"/>
    <w:rsid w:val="00DB05E9"/>
    <w:rsid w:val="00DB0615"/>
    <w:rsid w:val="00DB0AE6"/>
    <w:rsid w:val="00DB1060"/>
    <w:rsid w:val="00DB1730"/>
    <w:rsid w:val="00DB1765"/>
    <w:rsid w:val="00DB1997"/>
    <w:rsid w:val="00DB1C1B"/>
    <w:rsid w:val="00DB1CD6"/>
    <w:rsid w:val="00DB20E5"/>
    <w:rsid w:val="00DB2CFE"/>
    <w:rsid w:val="00DB2EF5"/>
    <w:rsid w:val="00DB2EFC"/>
    <w:rsid w:val="00DB32E8"/>
    <w:rsid w:val="00DB33A0"/>
    <w:rsid w:val="00DB38A9"/>
    <w:rsid w:val="00DB39D8"/>
    <w:rsid w:val="00DB3A47"/>
    <w:rsid w:val="00DB3AD3"/>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199"/>
    <w:rsid w:val="00DC3C42"/>
    <w:rsid w:val="00DC447A"/>
    <w:rsid w:val="00DC44C8"/>
    <w:rsid w:val="00DC4AC6"/>
    <w:rsid w:val="00DC4B5F"/>
    <w:rsid w:val="00DC4D80"/>
    <w:rsid w:val="00DC51C4"/>
    <w:rsid w:val="00DC5354"/>
    <w:rsid w:val="00DC53C6"/>
    <w:rsid w:val="00DC60DA"/>
    <w:rsid w:val="00DC6113"/>
    <w:rsid w:val="00DC61BC"/>
    <w:rsid w:val="00DC61E7"/>
    <w:rsid w:val="00DC68F2"/>
    <w:rsid w:val="00DC6F13"/>
    <w:rsid w:val="00DC703D"/>
    <w:rsid w:val="00DC70A4"/>
    <w:rsid w:val="00DC7148"/>
    <w:rsid w:val="00DC7D1B"/>
    <w:rsid w:val="00DD0291"/>
    <w:rsid w:val="00DD042D"/>
    <w:rsid w:val="00DD05A8"/>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83E"/>
    <w:rsid w:val="00DD5EBD"/>
    <w:rsid w:val="00DD636E"/>
    <w:rsid w:val="00DD63EA"/>
    <w:rsid w:val="00DD640C"/>
    <w:rsid w:val="00DD6A00"/>
    <w:rsid w:val="00DD7195"/>
    <w:rsid w:val="00DD74EE"/>
    <w:rsid w:val="00DD7832"/>
    <w:rsid w:val="00DD7FEF"/>
    <w:rsid w:val="00DE01EE"/>
    <w:rsid w:val="00DE0683"/>
    <w:rsid w:val="00DE0858"/>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A8"/>
    <w:rsid w:val="00E07AF8"/>
    <w:rsid w:val="00E07CC2"/>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7A19"/>
    <w:rsid w:val="00E17A64"/>
    <w:rsid w:val="00E201E2"/>
    <w:rsid w:val="00E20294"/>
    <w:rsid w:val="00E20463"/>
    <w:rsid w:val="00E20866"/>
    <w:rsid w:val="00E208B1"/>
    <w:rsid w:val="00E20C08"/>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685C"/>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C37"/>
    <w:rsid w:val="00E40E55"/>
    <w:rsid w:val="00E410BA"/>
    <w:rsid w:val="00E42040"/>
    <w:rsid w:val="00E4212A"/>
    <w:rsid w:val="00E4263F"/>
    <w:rsid w:val="00E4298A"/>
    <w:rsid w:val="00E42FB1"/>
    <w:rsid w:val="00E4311F"/>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815"/>
    <w:rsid w:val="00E47B44"/>
    <w:rsid w:val="00E502C8"/>
    <w:rsid w:val="00E50849"/>
    <w:rsid w:val="00E50B1F"/>
    <w:rsid w:val="00E50E8A"/>
    <w:rsid w:val="00E50E90"/>
    <w:rsid w:val="00E512A5"/>
    <w:rsid w:val="00E51FEC"/>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E9C"/>
    <w:rsid w:val="00E55631"/>
    <w:rsid w:val="00E55782"/>
    <w:rsid w:val="00E55927"/>
    <w:rsid w:val="00E559DC"/>
    <w:rsid w:val="00E55D91"/>
    <w:rsid w:val="00E55DD8"/>
    <w:rsid w:val="00E56093"/>
    <w:rsid w:val="00E56B05"/>
    <w:rsid w:val="00E56B26"/>
    <w:rsid w:val="00E56BE0"/>
    <w:rsid w:val="00E56C5E"/>
    <w:rsid w:val="00E5705F"/>
    <w:rsid w:val="00E578F6"/>
    <w:rsid w:val="00E57C1A"/>
    <w:rsid w:val="00E6035A"/>
    <w:rsid w:val="00E605B0"/>
    <w:rsid w:val="00E6065E"/>
    <w:rsid w:val="00E60B30"/>
    <w:rsid w:val="00E60B6E"/>
    <w:rsid w:val="00E60EE5"/>
    <w:rsid w:val="00E60FD6"/>
    <w:rsid w:val="00E610E4"/>
    <w:rsid w:val="00E61240"/>
    <w:rsid w:val="00E612E5"/>
    <w:rsid w:val="00E6150C"/>
    <w:rsid w:val="00E615BA"/>
    <w:rsid w:val="00E617D1"/>
    <w:rsid w:val="00E61E97"/>
    <w:rsid w:val="00E61EA3"/>
    <w:rsid w:val="00E622B1"/>
    <w:rsid w:val="00E63169"/>
    <w:rsid w:val="00E631B3"/>
    <w:rsid w:val="00E636C0"/>
    <w:rsid w:val="00E6380C"/>
    <w:rsid w:val="00E63A58"/>
    <w:rsid w:val="00E63CCC"/>
    <w:rsid w:val="00E64381"/>
    <w:rsid w:val="00E64F80"/>
    <w:rsid w:val="00E65222"/>
    <w:rsid w:val="00E65939"/>
    <w:rsid w:val="00E65995"/>
    <w:rsid w:val="00E65C1A"/>
    <w:rsid w:val="00E65F33"/>
    <w:rsid w:val="00E66067"/>
    <w:rsid w:val="00E66160"/>
    <w:rsid w:val="00E66BB3"/>
    <w:rsid w:val="00E67401"/>
    <w:rsid w:val="00E67F60"/>
    <w:rsid w:val="00E67FFA"/>
    <w:rsid w:val="00E70286"/>
    <w:rsid w:val="00E70787"/>
    <w:rsid w:val="00E710BA"/>
    <w:rsid w:val="00E711D3"/>
    <w:rsid w:val="00E71C13"/>
    <w:rsid w:val="00E728BD"/>
    <w:rsid w:val="00E72A27"/>
    <w:rsid w:val="00E73A69"/>
    <w:rsid w:val="00E73C4D"/>
    <w:rsid w:val="00E7403B"/>
    <w:rsid w:val="00E74216"/>
    <w:rsid w:val="00E743B6"/>
    <w:rsid w:val="00E74658"/>
    <w:rsid w:val="00E74E22"/>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9BE"/>
    <w:rsid w:val="00E85201"/>
    <w:rsid w:val="00E85307"/>
    <w:rsid w:val="00E85B21"/>
    <w:rsid w:val="00E85C2C"/>
    <w:rsid w:val="00E85D04"/>
    <w:rsid w:val="00E861C8"/>
    <w:rsid w:val="00E861F5"/>
    <w:rsid w:val="00E8659C"/>
    <w:rsid w:val="00E86CEB"/>
    <w:rsid w:val="00E87572"/>
    <w:rsid w:val="00E87839"/>
    <w:rsid w:val="00E9088E"/>
    <w:rsid w:val="00E90D24"/>
    <w:rsid w:val="00E911E9"/>
    <w:rsid w:val="00E91367"/>
    <w:rsid w:val="00E9244C"/>
    <w:rsid w:val="00E92758"/>
    <w:rsid w:val="00E92E8B"/>
    <w:rsid w:val="00E933B6"/>
    <w:rsid w:val="00E937BC"/>
    <w:rsid w:val="00E939CD"/>
    <w:rsid w:val="00E93B23"/>
    <w:rsid w:val="00E93CDE"/>
    <w:rsid w:val="00E94427"/>
    <w:rsid w:val="00E946A6"/>
    <w:rsid w:val="00E94E8C"/>
    <w:rsid w:val="00E95245"/>
    <w:rsid w:val="00E95474"/>
    <w:rsid w:val="00E95792"/>
    <w:rsid w:val="00E957C2"/>
    <w:rsid w:val="00E95A09"/>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696"/>
    <w:rsid w:val="00EA381D"/>
    <w:rsid w:val="00EA383C"/>
    <w:rsid w:val="00EA40D5"/>
    <w:rsid w:val="00EA43F9"/>
    <w:rsid w:val="00EA461F"/>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790"/>
    <w:rsid w:val="00EB1BA0"/>
    <w:rsid w:val="00EB1BBB"/>
    <w:rsid w:val="00EB1BFF"/>
    <w:rsid w:val="00EB281F"/>
    <w:rsid w:val="00EB28A8"/>
    <w:rsid w:val="00EB2B96"/>
    <w:rsid w:val="00EB3243"/>
    <w:rsid w:val="00EB3276"/>
    <w:rsid w:val="00EB3568"/>
    <w:rsid w:val="00EB3961"/>
    <w:rsid w:val="00EB3D57"/>
    <w:rsid w:val="00EB3E64"/>
    <w:rsid w:val="00EB3F46"/>
    <w:rsid w:val="00EB4012"/>
    <w:rsid w:val="00EB40C2"/>
    <w:rsid w:val="00EB466D"/>
    <w:rsid w:val="00EB46CC"/>
    <w:rsid w:val="00EB481A"/>
    <w:rsid w:val="00EB4A0F"/>
    <w:rsid w:val="00EB58AE"/>
    <w:rsid w:val="00EB6301"/>
    <w:rsid w:val="00EB663B"/>
    <w:rsid w:val="00EB6888"/>
    <w:rsid w:val="00EB695D"/>
    <w:rsid w:val="00EB6F9E"/>
    <w:rsid w:val="00EB737C"/>
    <w:rsid w:val="00EB79BE"/>
    <w:rsid w:val="00EB7E44"/>
    <w:rsid w:val="00EC0153"/>
    <w:rsid w:val="00EC03AD"/>
    <w:rsid w:val="00EC0496"/>
    <w:rsid w:val="00EC06BB"/>
    <w:rsid w:val="00EC0BE6"/>
    <w:rsid w:val="00EC12C4"/>
    <w:rsid w:val="00EC146F"/>
    <w:rsid w:val="00EC16A8"/>
    <w:rsid w:val="00EC1833"/>
    <w:rsid w:val="00EC1931"/>
    <w:rsid w:val="00EC1DB5"/>
    <w:rsid w:val="00EC2024"/>
    <w:rsid w:val="00EC21F1"/>
    <w:rsid w:val="00EC2379"/>
    <w:rsid w:val="00EC2F7E"/>
    <w:rsid w:val="00EC311A"/>
    <w:rsid w:val="00EC32E9"/>
    <w:rsid w:val="00EC393D"/>
    <w:rsid w:val="00EC39BB"/>
    <w:rsid w:val="00EC3BF8"/>
    <w:rsid w:val="00EC4340"/>
    <w:rsid w:val="00EC489F"/>
    <w:rsid w:val="00EC4A4C"/>
    <w:rsid w:val="00EC4F49"/>
    <w:rsid w:val="00EC505F"/>
    <w:rsid w:val="00EC5068"/>
    <w:rsid w:val="00EC5158"/>
    <w:rsid w:val="00EC52EB"/>
    <w:rsid w:val="00EC555B"/>
    <w:rsid w:val="00EC5648"/>
    <w:rsid w:val="00EC5F70"/>
    <w:rsid w:val="00EC5FB4"/>
    <w:rsid w:val="00EC64DF"/>
    <w:rsid w:val="00EC6B04"/>
    <w:rsid w:val="00EC6C1B"/>
    <w:rsid w:val="00EC78A1"/>
    <w:rsid w:val="00EC79CB"/>
    <w:rsid w:val="00EC7F2E"/>
    <w:rsid w:val="00ED01C8"/>
    <w:rsid w:val="00ED09D6"/>
    <w:rsid w:val="00ED0BCA"/>
    <w:rsid w:val="00ED19EE"/>
    <w:rsid w:val="00ED21C2"/>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40"/>
    <w:rsid w:val="00ED43C1"/>
    <w:rsid w:val="00ED4974"/>
    <w:rsid w:val="00ED4CF2"/>
    <w:rsid w:val="00ED4F8E"/>
    <w:rsid w:val="00ED507F"/>
    <w:rsid w:val="00ED508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0E69"/>
    <w:rsid w:val="00EE139E"/>
    <w:rsid w:val="00EE1D36"/>
    <w:rsid w:val="00EE1EA6"/>
    <w:rsid w:val="00EE24C3"/>
    <w:rsid w:val="00EE2B40"/>
    <w:rsid w:val="00EE2C4F"/>
    <w:rsid w:val="00EE2C97"/>
    <w:rsid w:val="00EE2FE7"/>
    <w:rsid w:val="00EE37E5"/>
    <w:rsid w:val="00EE3B15"/>
    <w:rsid w:val="00EE3FFD"/>
    <w:rsid w:val="00EE43B9"/>
    <w:rsid w:val="00EE4713"/>
    <w:rsid w:val="00EE477D"/>
    <w:rsid w:val="00EE490B"/>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8F2"/>
    <w:rsid w:val="00F018FD"/>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305"/>
    <w:rsid w:val="00F075CB"/>
    <w:rsid w:val="00F07730"/>
    <w:rsid w:val="00F07B03"/>
    <w:rsid w:val="00F102D0"/>
    <w:rsid w:val="00F10430"/>
    <w:rsid w:val="00F10657"/>
    <w:rsid w:val="00F10C10"/>
    <w:rsid w:val="00F10F1C"/>
    <w:rsid w:val="00F11783"/>
    <w:rsid w:val="00F11A01"/>
    <w:rsid w:val="00F120C5"/>
    <w:rsid w:val="00F12181"/>
    <w:rsid w:val="00F123EC"/>
    <w:rsid w:val="00F12720"/>
    <w:rsid w:val="00F12735"/>
    <w:rsid w:val="00F13426"/>
    <w:rsid w:val="00F136E9"/>
    <w:rsid w:val="00F13D37"/>
    <w:rsid w:val="00F13E75"/>
    <w:rsid w:val="00F1416E"/>
    <w:rsid w:val="00F143D5"/>
    <w:rsid w:val="00F146E2"/>
    <w:rsid w:val="00F14F43"/>
    <w:rsid w:val="00F15690"/>
    <w:rsid w:val="00F156C7"/>
    <w:rsid w:val="00F15AE7"/>
    <w:rsid w:val="00F15D7C"/>
    <w:rsid w:val="00F15DB4"/>
    <w:rsid w:val="00F15EA7"/>
    <w:rsid w:val="00F15EF9"/>
    <w:rsid w:val="00F15F33"/>
    <w:rsid w:val="00F1672E"/>
    <w:rsid w:val="00F16BAF"/>
    <w:rsid w:val="00F16D27"/>
    <w:rsid w:val="00F16E03"/>
    <w:rsid w:val="00F17876"/>
    <w:rsid w:val="00F179A4"/>
    <w:rsid w:val="00F179C6"/>
    <w:rsid w:val="00F179F9"/>
    <w:rsid w:val="00F20542"/>
    <w:rsid w:val="00F205F3"/>
    <w:rsid w:val="00F2061C"/>
    <w:rsid w:val="00F20C59"/>
    <w:rsid w:val="00F210D6"/>
    <w:rsid w:val="00F21147"/>
    <w:rsid w:val="00F2117E"/>
    <w:rsid w:val="00F211AE"/>
    <w:rsid w:val="00F213BA"/>
    <w:rsid w:val="00F2164A"/>
    <w:rsid w:val="00F21928"/>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5BA"/>
    <w:rsid w:val="00F349F2"/>
    <w:rsid w:val="00F34A09"/>
    <w:rsid w:val="00F34C15"/>
    <w:rsid w:val="00F35CEA"/>
    <w:rsid w:val="00F3655F"/>
    <w:rsid w:val="00F3680A"/>
    <w:rsid w:val="00F3697A"/>
    <w:rsid w:val="00F36C0C"/>
    <w:rsid w:val="00F36CCA"/>
    <w:rsid w:val="00F37392"/>
    <w:rsid w:val="00F37647"/>
    <w:rsid w:val="00F37AF1"/>
    <w:rsid w:val="00F37B13"/>
    <w:rsid w:val="00F401B1"/>
    <w:rsid w:val="00F406C2"/>
    <w:rsid w:val="00F40A10"/>
    <w:rsid w:val="00F411FF"/>
    <w:rsid w:val="00F416BD"/>
    <w:rsid w:val="00F416C0"/>
    <w:rsid w:val="00F41F34"/>
    <w:rsid w:val="00F41F96"/>
    <w:rsid w:val="00F42022"/>
    <w:rsid w:val="00F42AEA"/>
    <w:rsid w:val="00F43148"/>
    <w:rsid w:val="00F43398"/>
    <w:rsid w:val="00F43451"/>
    <w:rsid w:val="00F4391B"/>
    <w:rsid w:val="00F43B65"/>
    <w:rsid w:val="00F44085"/>
    <w:rsid w:val="00F443DA"/>
    <w:rsid w:val="00F44613"/>
    <w:rsid w:val="00F44645"/>
    <w:rsid w:val="00F44A3B"/>
    <w:rsid w:val="00F4537E"/>
    <w:rsid w:val="00F45BAC"/>
    <w:rsid w:val="00F466A4"/>
    <w:rsid w:val="00F467DA"/>
    <w:rsid w:val="00F46905"/>
    <w:rsid w:val="00F46AB2"/>
    <w:rsid w:val="00F46B25"/>
    <w:rsid w:val="00F46E25"/>
    <w:rsid w:val="00F4713C"/>
    <w:rsid w:val="00F472A3"/>
    <w:rsid w:val="00F472CD"/>
    <w:rsid w:val="00F476C9"/>
    <w:rsid w:val="00F47A26"/>
    <w:rsid w:val="00F47D16"/>
    <w:rsid w:val="00F5006C"/>
    <w:rsid w:val="00F50CBD"/>
    <w:rsid w:val="00F50F2A"/>
    <w:rsid w:val="00F5114E"/>
    <w:rsid w:val="00F516B0"/>
    <w:rsid w:val="00F51D45"/>
    <w:rsid w:val="00F51E5B"/>
    <w:rsid w:val="00F520D7"/>
    <w:rsid w:val="00F524EA"/>
    <w:rsid w:val="00F52AE0"/>
    <w:rsid w:val="00F52CE2"/>
    <w:rsid w:val="00F530B4"/>
    <w:rsid w:val="00F53223"/>
    <w:rsid w:val="00F532E8"/>
    <w:rsid w:val="00F5339D"/>
    <w:rsid w:val="00F53496"/>
    <w:rsid w:val="00F53866"/>
    <w:rsid w:val="00F53C2F"/>
    <w:rsid w:val="00F53DF1"/>
    <w:rsid w:val="00F54ACF"/>
    <w:rsid w:val="00F54DA8"/>
    <w:rsid w:val="00F5529C"/>
    <w:rsid w:val="00F556E4"/>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D9"/>
    <w:rsid w:val="00F630B8"/>
    <w:rsid w:val="00F6365F"/>
    <w:rsid w:val="00F637C2"/>
    <w:rsid w:val="00F63DEC"/>
    <w:rsid w:val="00F640E7"/>
    <w:rsid w:val="00F64109"/>
    <w:rsid w:val="00F645F7"/>
    <w:rsid w:val="00F64889"/>
    <w:rsid w:val="00F64B4B"/>
    <w:rsid w:val="00F64E99"/>
    <w:rsid w:val="00F64FF0"/>
    <w:rsid w:val="00F65194"/>
    <w:rsid w:val="00F6553E"/>
    <w:rsid w:val="00F65568"/>
    <w:rsid w:val="00F655A7"/>
    <w:rsid w:val="00F65631"/>
    <w:rsid w:val="00F658A1"/>
    <w:rsid w:val="00F65E71"/>
    <w:rsid w:val="00F65FFC"/>
    <w:rsid w:val="00F662D8"/>
    <w:rsid w:val="00F669B1"/>
    <w:rsid w:val="00F66BB4"/>
    <w:rsid w:val="00F66D26"/>
    <w:rsid w:val="00F66D70"/>
    <w:rsid w:val="00F671DB"/>
    <w:rsid w:val="00F6720C"/>
    <w:rsid w:val="00F6756B"/>
    <w:rsid w:val="00F679DA"/>
    <w:rsid w:val="00F67DC0"/>
    <w:rsid w:val="00F700F3"/>
    <w:rsid w:val="00F7016C"/>
    <w:rsid w:val="00F703DB"/>
    <w:rsid w:val="00F706ED"/>
    <w:rsid w:val="00F7082C"/>
    <w:rsid w:val="00F70E9D"/>
    <w:rsid w:val="00F71595"/>
    <w:rsid w:val="00F7171B"/>
    <w:rsid w:val="00F71AA2"/>
    <w:rsid w:val="00F71BA6"/>
    <w:rsid w:val="00F71FA3"/>
    <w:rsid w:val="00F723AE"/>
    <w:rsid w:val="00F726A0"/>
    <w:rsid w:val="00F72E56"/>
    <w:rsid w:val="00F73126"/>
    <w:rsid w:val="00F733F7"/>
    <w:rsid w:val="00F73D49"/>
    <w:rsid w:val="00F73DA9"/>
    <w:rsid w:val="00F73F63"/>
    <w:rsid w:val="00F74075"/>
    <w:rsid w:val="00F74085"/>
    <w:rsid w:val="00F7429D"/>
    <w:rsid w:val="00F7434C"/>
    <w:rsid w:val="00F745D5"/>
    <w:rsid w:val="00F7477C"/>
    <w:rsid w:val="00F748FD"/>
    <w:rsid w:val="00F74F40"/>
    <w:rsid w:val="00F75495"/>
    <w:rsid w:val="00F75642"/>
    <w:rsid w:val="00F75BBC"/>
    <w:rsid w:val="00F75D49"/>
    <w:rsid w:val="00F761BD"/>
    <w:rsid w:val="00F76295"/>
    <w:rsid w:val="00F763D2"/>
    <w:rsid w:val="00F76494"/>
    <w:rsid w:val="00F7670E"/>
    <w:rsid w:val="00F768F6"/>
    <w:rsid w:val="00F769A8"/>
    <w:rsid w:val="00F76F2B"/>
    <w:rsid w:val="00F7751F"/>
    <w:rsid w:val="00F7762C"/>
    <w:rsid w:val="00F776C4"/>
    <w:rsid w:val="00F77B7D"/>
    <w:rsid w:val="00F77D82"/>
    <w:rsid w:val="00F8039C"/>
    <w:rsid w:val="00F80C67"/>
    <w:rsid w:val="00F810BB"/>
    <w:rsid w:val="00F81101"/>
    <w:rsid w:val="00F81356"/>
    <w:rsid w:val="00F81886"/>
    <w:rsid w:val="00F81992"/>
    <w:rsid w:val="00F81FBD"/>
    <w:rsid w:val="00F8206E"/>
    <w:rsid w:val="00F820A6"/>
    <w:rsid w:val="00F82138"/>
    <w:rsid w:val="00F8239C"/>
    <w:rsid w:val="00F8297B"/>
    <w:rsid w:val="00F82E26"/>
    <w:rsid w:val="00F83613"/>
    <w:rsid w:val="00F83617"/>
    <w:rsid w:val="00F8381F"/>
    <w:rsid w:val="00F84373"/>
    <w:rsid w:val="00F84454"/>
    <w:rsid w:val="00F8449B"/>
    <w:rsid w:val="00F844BF"/>
    <w:rsid w:val="00F84626"/>
    <w:rsid w:val="00F8476C"/>
    <w:rsid w:val="00F84EAB"/>
    <w:rsid w:val="00F85748"/>
    <w:rsid w:val="00F85F5B"/>
    <w:rsid w:val="00F864A4"/>
    <w:rsid w:val="00F864A5"/>
    <w:rsid w:val="00F86A45"/>
    <w:rsid w:val="00F86EED"/>
    <w:rsid w:val="00F873CC"/>
    <w:rsid w:val="00F878FE"/>
    <w:rsid w:val="00F87B44"/>
    <w:rsid w:val="00F87CFB"/>
    <w:rsid w:val="00F87FEA"/>
    <w:rsid w:val="00F90581"/>
    <w:rsid w:val="00F9096A"/>
    <w:rsid w:val="00F90BC9"/>
    <w:rsid w:val="00F90C46"/>
    <w:rsid w:val="00F9105D"/>
    <w:rsid w:val="00F91426"/>
    <w:rsid w:val="00F91545"/>
    <w:rsid w:val="00F9159A"/>
    <w:rsid w:val="00F915B3"/>
    <w:rsid w:val="00F919DB"/>
    <w:rsid w:val="00F91EC3"/>
    <w:rsid w:val="00F921FB"/>
    <w:rsid w:val="00F922F9"/>
    <w:rsid w:val="00F92637"/>
    <w:rsid w:val="00F926BE"/>
    <w:rsid w:val="00F92BB7"/>
    <w:rsid w:val="00F92C83"/>
    <w:rsid w:val="00F92E40"/>
    <w:rsid w:val="00F92E8E"/>
    <w:rsid w:val="00F9333A"/>
    <w:rsid w:val="00F933F4"/>
    <w:rsid w:val="00F9348A"/>
    <w:rsid w:val="00F9353B"/>
    <w:rsid w:val="00F93B77"/>
    <w:rsid w:val="00F93BC8"/>
    <w:rsid w:val="00F93C4D"/>
    <w:rsid w:val="00F94002"/>
    <w:rsid w:val="00F940DD"/>
    <w:rsid w:val="00F94182"/>
    <w:rsid w:val="00F9452B"/>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CE8"/>
    <w:rsid w:val="00FB4D27"/>
    <w:rsid w:val="00FB52C9"/>
    <w:rsid w:val="00FB5488"/>
    <w:rsid w:val="00FB5F8E"/>
    <w:rsid w:val="00FB611D"/>
    <w:rsid w:val="00FB66B2"/>
    <w:rsid w:val="00FB6B27"/>
    <w:rsid w:val="00FB6B34"/>
    <w:rsid w:val="00FB6E6C"/>
    <w:rsid w:val="00FB7013"/>
    <w:rsid w:val="00FB7656"/>
    <w:rsid w:val="00FB7E32"/>
    <w:rsid w:val="00FB7FBA"/>
    <w:rsid w:val="00FC0159"/>
    <w:rsid w:val="00FC0222"/>
    <w:rsid w:val="00FC0C0E"/>
    <w:rsid w:val="00FC0E2B"/>
    <w:rsid w:val="00FC0F10"/>
    <w:rsid w:val="00FC1034"/>
    <w:rsid w:val="00FC13AD"/>
    <w:rsid w:val="00FC1821"/>
    <w:rsid w:val="00FC19E5"/>
    <w:rsid w:val="00FC1A15"/>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FA9"/>
    <w:rsid w:val="00FC73A4"/>
    <w:rsid w:val="00FC7576"/>
    <w:rsid w:val="00FC7A1D"/>
    <w:rsid w:val="00FC7BA3"/>
    <w:rsid w:val="00FD0B0C"/>
    <w:rsid w:val="00FD0E73"/>
    <w:rsid w:val="00FD0F11"/>
    <w:rsid w:val="00FD1088"/>
    <w:rsid w:val="00FD1169"/>
    <w:rsid w:val="00FD15A1"/>
    <w:rsid w:val="00FD1653"/>
    <w:rsid w:val="00FD1798"/>
    <w:rsid w:val="00FD294C"/>
    <w:rsid w:val="00FD2E86"/>
    <w:rsid w:val="00FD2F8A"/>
    <w:rsid w:val="00FD36C7"/>
    <w:rsid w:val="00FD385F"/>
    <w:rsid w:val="00FD39C8"/>
    <w:rsid w:val="00FD3D0B"/>
    <w:rsid w:val="00FD3DB9"/>
    <w:rsid w:val="00FD409B"/>
    <w:rsid w:val="00FD4C08"/>
    <w:rsid w:val="00FD55B8"/>
    <w:rsid w:val="00FD59C9"/>
    <w:rsid w:val="00FD5B72"/>
    <w:rsid w:val="00FD5F2D"/>
    <w:rsid w:val="00FD60EC"/>
    <w:rsid w:val="00FD6463"/>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CDD"/>
    <w:rsid w:val="00FE41B6"/>
    <w:rsid w:val="00FE4638"/>
    <w:rsid w:val="00FE4B23"/>
    <w:rsid w:val="00FE4DBB"/>
    <w:rsid w:val="00FE536D"/>
    <w:rsid w:val="00FE54EE"/>
    <w:rsid w:val="00FE631D"/>
    <w:rsid w:val="00FE6674"/>
    <w:rsid w:val="00FE66C6"/>
    <w:rsid w:val="00FE6958"/>
    <w:rsid w:val="00FE6A1A"/>
    <w:rsid w:val="00FE6B26"/>
    <w:rsid w:val="00FE72F2"/>
    <w:rsid w:val="00FE7442"/>
    <w:rsid w:val="00FE763F"/>
    <w:rsid w:val="00FE7BEF"/>
    <w:rsid w:val="00FF0056"/>
    <w:rsid w:val="00FF0485"/>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902"/>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79A4"/>
    <w:pPr>
      <w:widowControl w:val="0"/>
      <w:jc w:val="both"/>
    </w:pPr>
    <w:rPr>
      <w:rFonts w:asciiTheme="minorHAnsi" w:eastAsiaTheme="minorEastAsia" w:hAnsiTheme="minorHAnsi" w:cstheme="minorBidi"/>
      <w:kern w:val="2"/>
      <w:sz w:val="21"/>
      <w:szCs w:val="22"/>
      <w:lang w:eastAsia="x-none"/>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aliases w:val="h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179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79A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Zchn"/>
    <w:qFormat/>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Normal"/>
    <w:link w:val="ListParagraphChar"/>
    <w:uiPriority w:val="34"/>
    <w:qFormat/>
    <w:rsid w:val="007C2235"/>
    <w:pPr>
      <w:ind w:left="720"/>
      <w:contextualSpacing/>
    </w:pPr>
    <w:rPr>
      <w:lang w:eastAsia="en-US"/>
    </w:rPr>
  </w:style>
  <w:style w:type="table" w:styleId="TableGrid">
    <w:name w:val="Table Grid"/>
    <w:aliases w:val="TableGrid"/>
    <w:basedOn w:val="TableNormal"/>
    <w:uiPriority w:val="9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宋体" w:hAnsi="宋体"/>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1,목록 단락 Char,リスト段落 Char1,?? ?? Char1,????? Char1,???? Char1,Lista1 Char1,列出段落1 Char1,中等深浅网格 1 - 着色 21 Char1,清單段落1 Char,¥¡¡¡¡ì¬º¥¹¥È¶ÎÂä Char1,ÁÐ³ö¶ÎÂä Char1,列表段落1 Char1,—ño’i—Ž Char1,¥ê¥¹¥È¶ÎÂä Char1,Bullet list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uiPriority w:val="20"/>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Normal"/>
    <w:next w:val="Doc-text2"/>
    <w:uiPriority w:val="99"/>
    <w:qFormat/>
    <w:rsid w:val="009E7127"/>
    <w:pPr>
      <w:numPr>
        <w:numId w:val="6"/>
      </w:numPr>
      <w:spacing w:before="60"/>
    </w:pPr>
    <w:rPr>
      <w:rFonts w:ascii="Arial" w:eastAsia="MS Mincho" w:hAnsi="Arial" w:cs="Times New Roman"/>
      <w:b/>
      <w:sz w:val="20"/>
      <w:szCs w:val="24"/>
      <w:lang w:val="en-GB" w:eastAsia="en-GB"/>
    </w:rPr>
  </w:style>
  <w:style w:type="paragraph" w:customStyle="1" w:styleId="11">
    <w:name w:val="列表段落11"/>
    <w:basedOn w:val="Normal"/>
    <w:next w:val="ListParagraph"/>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
    <w:basedOn w:val="Normal"/>
    <w:next w:val="ListParagraph"/>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0">
    <w:basedOn w:val="Normal"/>
    <w:next w:val="ListParagraph"/>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1">
    <w:basedOn w:val="Normal"/>
    <w:next w:val="ListParagraph"/>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1"/>
    <w:uiPriority w:val="34"/>
    <w:qFormat/>
    <w:locked/>
    <w:rsid w:val="00166515"/>
    <w:rPr>
      <w:rFonts w:ascii="Times New Roman" w:hAnsi="Times New Roman"/>
      <w:lang w:val="en-GB" w:eastAsia="en-US"/>
    </w:rPr>
  </w:style>
  <w:style w:type="character" w:customStyle="1" w:styleId="CommentTextChar">
    <w:name w:val="Comment Text Char"/>
    <w:basedOn w:val="DefaultParagraphFont"/>
    <w:link w:val="CommentText"/>
    <w:semiHidden/>
    <w:rsid w:val="00F75D49"/>
    <w:rPr>
      <w:rFonts w:asciiTheme="minorHAnsi" w:eastAsia="MS Mincho" w:hAnsiTheme="minorHAnsi" w:cstheme="minorBidi"/>
      <w:kern w:val="2"/>
      <w:sz w:val="21"/>
      <w:szCs w:val="22"/>
    </w:rPr>
  </w:style>
  <w:style w:type="character" w:customStyle="1" w:styleId="Heading2Char">
    <w:name w:val="Heading 2 Char"/>
    <w:aliases w:val="H2 Char,h2 Char,DO NOT USE_h2 Char,h21 Char,Heading 2 3GPP Char"/>
    <w:basedOn w:val="DefaultParagraphFont"/>
    <w:link w:val="Heading2"/>
    <w:rsid w:val="006A798C"/>
    <w:rPr>
      <w:rFonts w:ascii="Arial" w:hAnsi="Arial"/>
      <w:sz w:val="32"/>
      <w:lang w:val="en-GB" w:eastAsia="en-US"/>
    </w:rPr>
  </w:style>
  <w:style w:type="character" w:customStyle="1" w:styleId="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Heading3Char">
    <w:name w:val="Heading 3 Char"/>
    <w:aliases w:val="Heading 3 3GPP Char"/>
    <w:basedOn w:val="DefaultParagraphFont"/>
    <w:link w:val="Heading3"/>
    <w:rsid w:val="004F7F8D"/>
    <w:rPr>
      <w:rFonts w:ascii="Arial" w:hAnsi="Arial"/>
      <w:sz w:val="28"/>
      <w:lang w:val="en-GB" w:eastAsia="en-US"/>
    </w:rPr>
  </w:style>
  <w:style w:type="character" w:customStyle="1" w:styleId="Heading1Char">
    <w:name w:val="Heading 1 Char"/>
    <w:aliases w:val="H1 Char,h1 Char,Heading 1 3GPP Char"/>
    <w:basedOn w:val="DefaultParagraphFont"/>
    <w:link w:val="Heading1"/>
    <w:rsid w:val="001D490F"/>
    <w:rPr>
      <w:rFonts w:ascii="Arial" w:hAnsi="Arial"/>
      <w:sz w:val="36"/>
      <w:lang w:val="en-GB" w:eastAsia="en-US"/>
    </w:rPr>
  </w:style>
  <w:style w:type="character" w:customStyle="1" w:styleId="ui-provider">
    <w:name w:val="ui-provider"/>
    <w:basedOn w:val="DefaultParagraphFont"/>
    <w:rsid w:val="009E2D48"/>
  </w:style>
  <w:style w:type="character" w:customStyle="1" w:styleId="B3Char">
    <w:name w:val="B3 Char"/>
    <w:qFormat/>
    <w:locked/>
    <w:rsid w:val="003679D0"/>
    <w:rPr>
      <w:rFonts w:ascii="Times New Roman" w:hAnsi="Times New Roman"/>
      <w:lang w:val="en-GB" w:eastAsia="en-US"/>
    </w:rPr>
  </w:style>
  <w:style w:type="character" w:customStyle="1" w:styleId="CRCoverPageZchn">
    <w:name w:val="CR Cover Page Zchn"/>
    <w:link w:val="CRCoverPage"/>
    <w:qFormat/>
    <w:locked/>
    <w:rsid w:val="00287908"/>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0640693">
      <w:bodyDiv w:val="1"/>
      <w:marLeft w:val="0"/>
      <w:marRight w:val="0"/>
      <w:marTop w:val="0"/>
      <w:marBottom w:val="0"/>
      <w:divBdr>
        <w:top w:val="none" w:sz="0" w:space="0" w:color="auto"/>
        <w:left w:val="none" w:sz="0" w:space="0" w:color="auto"/>
        <w:bottom w:val="none" w:sz="0" w:space="0" w:color="auto"/>
        <w:right w:val="none" w:sz="0" w:space="0" w:color="auto"/>
      </w:divBdr>
    </w:div>
    <w:div w:id="44329386">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8603808">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6269753">
      <w:bodyDiv w:val="1"/>
      <w:marLeft w:val="0"/>
      <w:marRight w:val="0"/>
      <w:marTop w:val="0"/>
      <w:marBottom w:val="0"/>
      <w:divBdr>
        <w:top w:val="none" w:sz="0" w:space="0" w:color="auto"/>
        <w:left w:val="none" w:sz="0" w:space="0" w:color="auto"/>
        <w:bottom w:val="none" w:sz="0" w:space="0" w:color="auto"/>
        <w:right w:val="none" w:sz="0" w:space="0" w:color="auto"/>
      </w:divBdr>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78185793">
      <w:bodyDiv w:val="1"/>
      <w:marLeft w:val="0"/>
      <w:marRight w:val="0"/>
      <w:marTop w:val="0"/>
      <w:marBottom w:val="0"/>
      <w:divBdr>
        <w:top w:val="none" w:sz="0" w:space="0" w:color="auto"/>
        <w:left w:val="none" w:sz="0" w:space="0" w:color="auto"/>
        <w:bottom w:val="none" w:sz="0" w:space="0" w:color="auto"/>
        <w:right w:val="none" w:sz="0" w:space="0" w:color="auto"/>
      </w:divBdr>
      <w:divsChild>
        <w:div w:id="1694453315">
          <w:marLeft w:val="1699"/>
          <w:marRight w:val="0"/>
          <w:marTop w:val="12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01264720">
      <w:bodyDiv w:val="1"/>
      <w:marLeft w:val="0"/>
      <w:marRight w:val="0"/>
      <w:marTop w:val="0"/>
      <w:marBottom w:val="0"/>
      <w:divBdr>
        <w:top w:val="none" w:sz="0" w:space="0" w:color="auto"/>
        <w:left w:val="none" w:sz="0" w:space="0" w:color="auto"/>
        <w:bottom w:val="none" w:sz="0" w:space="0" w:color="auto"/>
        <w:right w:val="none" w:sz="0" w:space="0" w:color="auto"/>
      </w:divBdr>
    </w:div>
    <w:div w:id="104078198">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2909659">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07030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8375507">
      <w:bodyDiv w:val="1"/>
      <w:marLeft w:val="0"/>
      <w:marRight w:val="0"/>
      <w:marTop w:val="0"/>
      <w:marBottom w:val="0"/>
      <w:divBdr>
        <w:top w:val="none" w:sz="0" w:space="0" w:color="auto"/>
        <w:left w:val="none" w:sz="0" w:space="0" w:color="auto"/>
        <w:bottom w:val="none" w:sz="0" w:space="0" w:color="auto"/>
        <w:right w:val="none" w:sz="0" w:space="0" w:color="auto"/>
      </w:divBdr>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49244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230350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656724">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135173">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67278783">
      <w:bodyDiv w:val="1"/>
      <w:marLeft w:val="0"/>
      <w:marRight w:val="0"/>
      <w:marTop w:val="0"/>
      <w:marBottom w:val="0"/>
      <w:divBdr>
        <w:top w:val="none" w:sz="0" w:space="0" w:color="auto"/>
        <w:left w:val="none" w:sz="0" w:space="0" w:color="auto"/>
        <w:bottom w:val="none" w:sz="0" w:space="0" w:color="auto"/>
        <w:right w:val="none" w:sz="0" w:space="0" w:color="auto"/>
      </w:divBdr>
    </w:div>
    <w:div w:id="27062333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148222">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1250482">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788149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19917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693494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018358">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63890">
      <w:bodyDiv w:val="1"/>
      <w:marLeft w:val="0"/>
      <w:marRight w:val="0"/>
      <w:marTop w:val="0"/>
      <w:marBottom w:val="0"/>
      <w:divBdr>
        <w:top w:val="none" w:sz="0" w:space="0" w:color="auto"/>
        <w:left w:val="none" w:sz="0" w:space="0" w:color="auto"/>
        <w:bottom w:val="none" w:sz="0" w:space="0" w:color="auto"/>
        <w:right w:val="none" w:sz="0" w:space="0" w:color="auto"/>
      </w:divBdr>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7258824">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8391165">
      <w:bodyDiv w:val="1"/>
      <w:marLeft w:val="0"/>
      <w:marRight w:val="0"/>
      <w:marTop w:val="0"/>
      <w:marBottom w:val="0"/>
      <w:divBdr>
        <w:top w:val="none" w:sz="0" w:space="0" w:color="auto"/>
        <w:left w:val="none" w:sz="0" w:space="0" w:color="auto"/>
        <w:bottom w:val="none" w:sz="0" w:space="0" w:color="auto"/>
        <w:right w:val="none" w:sz="0" w:space="0" w:color="auto"/>
      </w:divBdr>
    </w:div>
    <w:div w:id="522715432">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054112">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926645">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30767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8389663">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139818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3333187">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3980314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9922984">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37300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256385">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29181097">
      <w:bodyDiv w:val="1"/>
      <w:marLeft w:val="0"/>
      <w:marRight w:val="0"/>
      <w:marTop w:val="0"/>
      <w:marBottom w:val="0"/>
      <w:divBdr>
        <w:top w:val="none" w:sz="0" w:space="0" w:color="auto"/>
        <w:left w:val="none" w:sz="0" w:space="0" w:color="auto"/>
        <w:bottom w:val="none" w:sz="0" w:space="0" w:color="auto"/>
        <w:right w:val="none" w:sz="0" w:space="0" w:color="auto"/>
      </w:divBdr>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236798">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69061513">
      <w:bodyDiv w:val="1"/>
      <w:marLeft w:val="0"/>
      <w:marRight w:val="0"/>
      <w:marTop w:val="0"/>
      <w:marBottom w:val="0"/>
      <w:divBdr>
        <w:top w:val="none" w:sz="0" w:space="0" w:color="auto"/>
        <w:left w:val="none" w:sz="0" w:space="0" w:color="auto"/>
        <w:bottom w:val="none" w:sz="0" w:space="0" w:color="auto"/>
        <w:right w:val="none" w:sz="0" w:space="0" w:color="auto"/>
      </w:divBdr>
    </w:div>
    <w:div w:id="1176189639">
      <w:bodyDiv w:val="1"/>
      <w:marLeft w:val="0"/>
      <w:marRight w:val="0"/>
      <w:marTop w:val="0"/>
      <w:marBottom w:val="0"/>
      <w:divBdr>
        <w:top w:val="none" w:sz="0" w:space="0" w:color="auto"/>
        <w:left w:val="none" w:sz="0" w:space="0" w:color="auto"/>
        <w:bottom w:val="none" w:sz="0" w:space="0" w:color="auto"/>
        <w:right w:val="none" w:sz="0" w:space="0" w:color="auto"/>
      </w:divBdr>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5272283">
      <w:bodyDiv w:val="1"/>
      <w:marLeft w:val="0"/>
      <w:marRight w:val="0"/>
      <w:marTop w:val="0"/>
      <w:marBottom w:val="0"/>
      <w:divBdr>
        <w:top w:val="none" w:sz="0" w:space="0" w:color="auto"/>
        <w:left w:val="none" w:sz="0" w:space="0" w:color="auto"/>
        <w:bottom w:val="none" w:sz="0" w:space="0" w:color="auto"/>
        <w:right w:val="none" w:sz="0" w:space="0" w:color="auto"/>
      </w:divBdr>
    </w:div>
    <w:div w:id="1195387658">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2327206">
      <w:bodyDiv w:val="1"/>
      <w:marLeft w:val="0"/>
      <w:marRight w:val="0"/>
      <w:marTop w:val="0"/>
      <w:marBottom w:val="0"/>
      <w:divBdr>
        <w:top w:val="none" w:sz="0" w:space="0" w:color="auto"/>
        <w:left w:val="none" w:sz="0" w:space="0" w:color="auto"/>
        <w:bottom w:val="none" w:sz="0" w:space="0" w:color="auto"/>
        <w:right w:val="none" w:sz="0" w:space="0" w:color="auto"/>
      </w:divBdr>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27717602">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61991380">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1795207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229986">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389915">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4839011">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4545266">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4200639">
      <w:bodyDiv w:val="1"/>
      <w:marLeft w:val="0"/>
      <w:marRight w:val="0"/>
      <w:marTop w:val="0"/>
      <w:marBottom w:val="0"/>
      <w:divBdr>
        <w:top w:val="none" w:sz="0" w:space="0" w:color="auto"/>
        <w:left w:val="none" w:sz="0" w:space="0" w:color="auto"/>
        <w:bottom w:val="none" w:sz="0" w:space="0" w:color="auto"/>
        <w:right w:val="none" w:sz="0" w:space="0" w:color="auto"/>
      </w:divBdr>
    </w:div>
    <w:div w:id="1528984499">
      <w:bodyDiv w:val="1"/>
      <w:marLeft w:val="0"/>
      <w:marRight w:val="0"/>
      <w:marTop w:val="0"/>
      <w:marBottom w:val="0"/>
      <w:divBdr>
        <w:top w:val="none" w:sz="0" w:space="0" w:color="auto"/>
        <w:left w:val="none" w:sz="0" w:space="0" w:color="auto"/>
        <w:bottom w:val="none" w:sz="0" w:space="0" w:color="auto"/>
        <w:right w:val="none" w:sz="0" w:space="0" w:color="auto"/>
      </w:divBdr>
      <w:divsChild>
        <w:div w:id="1302613357">
          <w:marLeft w:val="1699"/>
          <w:marRight w:val="0"/>
          <w:marTop w:val="120"/>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589863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9679109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424192">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230287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533336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72676425">
      <w:bodyDiv w:val="1"/>
      <w:marLeft w:val="0"/>
      <w:marRight w:val="0"/>
      <w:marTop w:val="0"/>
      <w:marBottom w:val="0"/>
      <w:divBdr>
        <w:top w:val="none" w:sz="0" w:space="0" w:color="auto"/>
        <w:left w:val="none" w:sz="0" w:space="0" w:color="auto"/>
        <w:bottom w:val="none" w:sz="0" w:space="0" w:color="auto"/>
        <w:right w:val="none" w:sz="0" w:space="0" w:color="auto"/>
      </w:divBdr>
    </w:div>
    <w:div w:id="167603249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0448784">
      <w:bodyDiv w:val="1"/>
      <w:marLeft w:val="0"/>
      <w:marRight w:val="0"/>
      <w:marTop w:val="0"/>
      <w:marBottom w:val="0"/>
      <w:divBdr>
        <w:top w:val="none" w:sz="0" w:space="0" w:color="auto"/>
        <w:left w:val="none" w:sz="0" w:space="0" w:color="auto"/>
        <w:bottom w:val="none" w:sz="0" w:space="0" w:color="auto"/>
        <w:right w:val="none" w:sz="0" w:space="0" w:color="auto"/>
      </w:divBdr>
    </w:div>
    <w:div w:id="169445583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704013615">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668720">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5556258">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898646">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9713177">
      <w:bodyDiv w:val="1"/>
      <w:marLeft w:val="0"/>
      <w:marRight w:val="0"/>
      <w:marTop w:val="0"/>
      <w:marBottom w:val="0"/>
      <w:divBdr>
        <w:top w:val="none" w:sz="0" w:space="0" w:color="auto"/>
        <w:left w:val="none" w:sz="0" w:space="0" w:color="auto"/>
        <w:bottom w:val="none" w:sz="0" w:space="0" w:color="auto"/>
        <w:right w:val="none" w:sz="0" w:space="0" w:color="auto"/>
      </w:divBdr>
    </w:div>
    <w:div w:id="1835147465">
      <w:bodyDiv w:val="1"/>
      <w:marLeft w:val="0"/>
      <w:marRight w:val="0"/>
      <w:marTop w:val="0"/>
      <w:marBottom w:val="0"/>
      <w:divBdr>
        <w:top w:val="none" w:sz="0" w:space="0" w:color="auto"/>
        <w:left w:val="none" w:sz="0" w:space="0" w:color="auto"/>
        <w:bottom w:val="none" w:sz="0" w:space="0" w:color="auto"/>
        <w:right w:val="none" w:sz="0" w:space="0" w:color="auto"/>
      </w:divBdr>
    </w:div>
    <w:div w:id="1839416203">
      <w:bodyDiv w:val="1"/>
      <w:marLeft w:val="0"/>
      <w:marRight w:val="0"/>
      <w:marTop w:val="0"/>
      <w:marBottom w:val="0"/>
      <w:divBdr>
        <w:top w:val="none" w:sz="0" w:space="0" w:color="auto"/>
        <w:left w:val="none" w:sz="0" w:space="0" w:color="auto"/>
        <w:bottom w:val="none" w:sz="0" w:space="0" w:color="auto"/>
        <w:right w:val="none" w:sz="0" w:space="0" w:color="auto"/>
      </w:divBdr>
    </w:div>
    <w:div w:id="1841043315">
      <w:bodyDiv w:val="1"/>
      <w:marLeft w:val="0"/>
      <w:marRight w:val="0"/>
      <w:marTop w:val="0"/>
      <w:marBottom w:val="0"/>
      <w:divBdr>
        <w:top w:val="none" w:sz="0" w:space="0" w:color="auto"/>
        <w:left w:val="none" w:sz="0" w:space="0" w:color="auto"/>
        <w:bottom w:val="none" w:sz="0" w:space="0" w:color="auto"/>
        <w:right w:val="none" w:sz="0" w:space="0" w:color="auto"/>
      </w:divBdr>
    </w:div>
    <w:div w:id="1842768314">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6645018">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3348415">
      <w:bodyDiv w:val="1"/>
      <w:marLeft w:val="0"/>
      <w:marRight w:val="0"/>
      <w:marTop w:val="0"/>
      <w:marBottom w:val="0"/>
      <w:divBdr>
        <w:top w:val="none" w:sz="0" w:space="0" w:color="auto"/>
        <w:left w:val="none" w:sz="0" w:space="0" w:color="auto"/>
        <w:bottom w:val="none" w:sz="0" w:space="0" w:color="auto"/>
        <w:right w:val="none" w:sz="0" w:space="0" w:color="auto"/>
      </w:divBdr>
    </w:div>
    <w:div w:id="191446781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217926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2473921">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1300319">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76059444">
      <w:bodyDiv w:val="1"/>
      <w:marLeft w:val="0"/>
      <w:marRight w:val="0"/>
      <w:marTop w:val="0"/>
      <w:marBottom w:val="0"/>
      <w:divBdr>
        <w:top w:val="none" w:sz="0" w:space="0" w:color="auto"/>
        <w:left w:val="none" w:sz="0" w:space="0" w:color="auto"/>
        <w:bottom w:val="none" w:sz="0" w:space="0" w:color="auto"/>
        <w:right w:val="none" w:sz="0" w:space="0" w:color="auto"/>
      </w:divBdr>
    </w:div>
    <w:div w:id="1999458813">
      <w:bodyDiv w:val="1"/>
      <w:marLeft w:val="0"/>
      <w:marRight w:val="0"/>
      <w:marTop w:val="0"/>
      <w:marBottom w:val="0"/>
      <w:divBdr>
        <w:top w:val="none" w:sz="0" w:space="0" w:color="auto"/>
        <w:left w:val="none" w:sz="0" w:space="0" w:color="auto"/>
        <w:bottom w:val="none" w:sz="0" w:space="0" w:color="auto"/>
        <w:right w:val="none" w:sz="0" w:space="0" w:color="auto"/>
      </w:divBdr>
    </w:div>
    <w:div w:id="2004164397">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739">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3409428">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294455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5303918">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178</TotalTime>
  <Pages>8</Pages>
  <Words>4135</Words>
  <Characters>23572</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Miao Wang</cp:lastModifiedBy>
  <cp:revision>20</cp:revision>
  <dcterms:created xsi:type="dcterms:W3CDTF">2024-11-06T23:52:00Z</dcterms:created>
  <dcterms:modified xsi:type="dcterms:W3CDTF">2024-11-08T16:56:00Z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